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4"/>
          <w:szCs w:val="24"/>
        </w:rPr>
      </w:pPr>
      <w:r>
        <w:rPr>
          <w:b w:val="1"/>
          <w:bCs w:val="1"/>
          <w:sz w:val="24"/>
          <w:szCs w:val="24"/>
          <w:rtl w:val="0"/>
          <w:lang w:val="en-US"/>
        </w:rPr>
        <w:t>OFA Board Meeting</w:t>
      </w:r>
    </w:p>
    <w:p>
      <w:pPr>
        <w:pStyle w:val="Body A"/>
        <w:jc w:val="center"/>
        <w:rPr>
          <w:b w:val="1"/>
          <w:bCs w:val="1"/>
          <w:sz w:val="24"/>
          <w:szCs w:val="24"/>
        </w:rPr>
      </w:pPr>
      <w:r>
        <w:rPr>
          <w:b w:val="1"/>
          <w:bCs w:val="1"/>
          <w:sz w:val="24"/>
          <w:szCs w:val="24"/>
          <w:rtl w:val="0"/>
          <w:lang w:val="en-US"/>
        </w:rPr>
        <w:t>Mar. 20, 2025</w:t>
      </w:r>
    </w:p>
    <w:p>
      <w:pPr>
        <w:pStyle w:val="Body A"/>
        <w:jc w:val="center"/>
        <w:rPr>
          <w:b w:val="1"/>
          <w:bCs w:val="1"/>
          <w:sz w:val="24"/>
          <w:szCs w:val="24"/>
        </w:rPr>
      </w:pPr>
      <w:r>
        <w:rPr>
          <w:b w:val="1"/>
          <w:bCs w:val="1"/>
          <w:sz w:val="24"/>
          <w:szCs w:val="24"/>
          <w:rtl w:val="0"/>
          <w:lang w:val="en-US"/>
        </w:rPr>
        <w:t>10am Pacific time</w:t>
      </w:r>
    </w:p>
    <w:p>
      <w:pPr>
        <w:pStyle w:val="Body Text"/>
        <w:numPr>
          <w:ilvl w:val="0"/>
          <w:numId w:val="2"/>
        </w:numPr>
        <w:bidi w:val="0"/>
        <w:ind w:right="0"/>
        <w:jc w:val="left"/>
        <w:rPr>
          <w:rtl w:val="0"/>
          <w:lang w:val="en-US"/>
        </w:rPr>
      </w:pPr>
      <w:r>
        <w:rPr>
          <w:rtl w:val="0"/>
          <w:lang w:val="en-US"/>
        </w:rPr>
        <w:t xml:space="preserve">Roll Call: </w:t>
      </w:r>
    </w:p>
    <w:p>
      <w:pPr>
        <w:pStyle w:val="Body A"/>
        <w:ind w:firstLine="360"/>
        <w:rPr>
          <w:sz w:val="24"/>
          <w:szCs w:val="24"/>
        </w:rPr>
      </w:pPr>
      <w:r>
        <w:rPr>
          <w:sz w:val="24"/>
          <w:szCs w:val="24"/>
          <w:rtl w:val="0"/>
          <w:lang w:val="en-US"/>
        </w:rPr>
        <w:t>Board Members:</w:t>
      </w:r>
    </w:p>
    <w:p>
      <w:pPr>
        <w:pStyle w:val="Body A"/>
        <w:ind w:firstLine="360"/>
        <w:rPr>
          <w:sz w:val="24"/>
          <w:szCs w:val="24"/>
        </w:rPr>
      </w:pPr>
      <w:r>
        <w:rPr>
          <w:b w:val="1"/>
          <w:bCs w:val="1"/>
          <w:sz w:val="24"/>
          <w:szCs w:val="24"/>
        </w:rPr>
        <w:tab/>
      </w:r>
    </w:p>
    <w:tbl>
      <w:tblPr>
        <w:tblW w:w="7580" w:type="dxa"/>
        <w:jc w:val="left"/>
        <w:tblInd w:w="115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69"/>
        <w:gridCol w:w="1256"/>
        <w:gridCol w:w="661"/>
        <w:gridCol w:w="660"/>
        <w:gridCol w:w="660"/>
        <w:gridCol w:w="660"/>
        <w:gridCol w:w="661"/>
        <w:gridCol w:w="926"/>
        <w:gridCol w:w="927"/>
      </w:tblGrid>
      <w:tr>
        <w:tblPrEx>
          <w:shd w:val="clear" w:color="auto" w:fill="ced7e7"/>
        </w:tblPrEx>
        <w:trPr>
          <w:trHeight w:val="9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Company</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Voting Contact</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09/21</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09/28</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10/19</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11/30</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12/21</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20-Mar</w:t>
            </w:r>
            <w:r>
              <w:rPr>
                <w:shd w:val="nil" w:color="auto" w:fill="auto"/>
              </w:rPr>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Good Standing</w:t>
            </w:r>
          </w:p>
        </w:tc>
      </w:tr>
      <w:tr>
        <w:tblPrEx>
          <w:shd w:val="clear" w:color="auto" w:fill="ced7e7"/>
        </w:tblPrEx>
        <w:trPr>
          <w:trHeight w:val="60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HPE</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John Byrne</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418"/>
              </w:tabs>
            </w:pPr>
            <w:r>
              <w:rPr>
                <w:sz w:val="24"/>
                <w:szCs w:val="24"/>
                <w:shd w:val="nil" w:color="auto" w:fill="auto"/>
                <w:rtl w:val="0"/>
                <w:lang w:val="en-US"/>
              </w:rPr>
              <w:t>Y</w:t>
              <w:tab/>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Huawei</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Steve Langridge</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N</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IBM</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Bernard Metzler</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Intel</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Phil Cayton</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LLNL</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Matt Leininger</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Mellanox</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Gilad Shainer</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N</w:t>
            </w:r>
          </w:p>
        </w:tc>
      </w:tr>
      <w:tr>
        <w:tblPrEx>
          <w:shd w:val="clear" w:color="auto" w:fill="ced7e7"/>
        </w:tblPrEx>
        <w:trPr>
          <w:trHeight w:val="3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Fujitsu</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Sandia</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Mike Aguilar</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HPE*</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Doug Ledford</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Y</w:t>
            </w:r>
          </w:p>
        </w:tc>
      </w:tr>
      <w:tr>
        <w:tblPrEx>
          <w:shd w:val="clear" w:color="auto" w:fill="ced7e7"/>
        </w:tblPrEx>
        <w:trPr>
          <w:trHeight w:val="610" w:hRule="atLeast"/>
        </w:trPr>
        <w:tc>
          <w:tcPr>
            <w:tcW w:type="dxa" w:w="11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LLNL</w:t>
            </w:r>
            <w:r>
              <w:rPr>
                <w:shd w:val="nil" w:color="auto" w:fill="auto"/>
                <w:rtl w:val="0"/>
                <w:lang w:val="en-US"/>
                <w14:textOutline w14:w="12700" w14:cap="flat">
                  <w14:noFill/>
                  <w14:miter w14:lim="400000"/>
                </w14:textOutline>
              </w:rPr>
              <w:t>**</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Nathan Hanford</w:t>
            </w: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Y</w:t>
            </w:r>
          </w:p>
        </w:tc>
        <w:tc>
          <w:tcPr>
            <w:tcW w:type="dxa" w:w="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50" w:hanging="1050"/>
        <w:rPr>
          <w:sz w:val="24"/>
          <w:szCs w:val="24"/>
        </w:rPr>
      </w:pPr>
    </w:p>
    <w:p>
      <w:pPr>
        <w:pStyle w:val="Body A"/>
        <w:widowControl w:val="0"/>
        <w:ind w:left="942" w:hanging="942"/>
        <w:rPr>
          <w:sz w:val="24"/>
          <w:szCs w:val="24"/>
        </w:rPr>
      </w:pPr>
    </w:p>
    <w:p>
      <w:pPr>
        <w:pStyle w:val="List Paragraph"/>
        <w:numPr>
          <w:ilvl w:val="0"/>
          <w:numId w:val="4"/>
        </w:numPr>
        <w:rPr>
          <w:sz w:val="24"/>
          <w:szCs w:val="24"/>
          <w:lang w:val="en-US"/>
        </w:rPr>
      </w:pPr>
      <w:r>
        <w:rPr>
          <w:sz w:val="24"/>
          <w:szCs w:val="24"/>
          <w:rtl w:val="0"/>
          <w:lang w:val="en-US"/>
        </w:rPr>
        <w:t xml:space="preserve">– </w:t>
      </w:r>
      <w:r>
        <w:rPr>
          <w:sz w:val="24"/>
          <w:szCs w:val="24"/>
          <w:rtl w:val="0"/>
          <w:lang w:val="en-US"/>
        </w:rPr>
        <w:t xml:space="preserve">Doug Ledford is a standing alternate for </w:t>
      </w:r>
      <w:r>
        <w:rPr>
          <w:sz w:val="24"/>
          <w:szCs w:val="24"/>
          <w:rtl w:val="0"/>
          <w:lang w:val="en-US"/>
        </w:rPr>
        <w:t>John Byrne</w:t>
      </w:r>
      <w:r>
        <w:rPr>
          <w:sz w:val="24"/>
          <w:szCs w:val="24"/>
          <w:rtl w:val="0"/>
          <w:lang w:val="en-US"/>
        </w:rPr>
        <w:t>, this is the only reason his attendance is tracked</w:t>
      </w:r>
    </w:p>
    <w:p>
      <w:pPr>
        <w:pStyle w:val="List Paragraph"/>
        <w:numPr>
          <w:ilvl w:val="0"/>
          <w:numId w:val="4"/>
        </w:numPr>
        <w:rPr>
          <w:sz w:val="24"/>
          <w:szCs w:val="24"/>
          <w:lang w:val="en-US"/>
        </w:rPr>
      </w:pPr>
      <w:r>
        <w:rPr>
          <w:sz w:val="24"/>
          <w:szCs w:val="24"/>
          <w:rtl w:val="0"/>
          <w:lang w:val="en-US"/>
        </w:rPr>
        <w:t>* - Nathan Hanford is a standing alternate for Matt Leininger</w:t>
      </w:r>
    </w:p>
    <w:p>
      <w:pPr>
        <w:pStyle w:val="Body A"/>
        <w:ind w:firstLine="450"/>
        <w:rPr>
          <w:sz w:val="24"/>
          <w:szCs w:val="24"/>
        </w:rPr>
      </w:pPr>
      <w:r>
        <w:rPr>
          <w:sz w:val="24"/>
          <w:szCs w:val="24"/>
          <w:rtl w:val="0"/>
          <w:lang w:val="en-US"/>
        </w:rPr>
        <w:t>Others:</w:t>
      </w:r>
    </w:p>
    <w:p>
      <w:pPr>
        <w:pStyle w:val="Body A"/>
        <w:ind w:firstLine="720"/>
        <w:rPr>
          <w:sz w:val="24"/>
          <w:szCs w:val="24"/>
        </w:rPr>
      </w:pPr>
      <w:r>
        <w:rPr>
          <w:sz w:val="24"/>
          <w:szCs w:val="24"/>
          <w:rtl w:val="0"/>
          <w:lang w:val="en-US"/>
        </w:rPr>
        <w:t xml:space="preserve">Jim Ryan </w:t>
      </w:r>
    </w:p>
    <w:p>
      <w:pPr>
        <w:pStyle w:val="Body A"/>
        <w:ind w:firstLine="720"/>
        <w:rPr>
          <w:sz w:val="24"/>
          <w:szCs w:val="24"/>
          <w:lang w:val="de-DE"/>
        </w:rPr>
      </w:pPr>
      <w:r>
        <w:rPr>
          <w:sz w:val="24"/>
          <w:szCs w:val="24"/>
          <w:rtl w:val="0"/>
          <w:lang w:val="de-DE"/>
        </w:rPr>
        <w:t xml:space="preserve">Paul Grun </w:t>
      </w:r>
    </w:p>
    <w:p>
      <w:pPr>
        <w:pStyle w:val="Body A"/>
        <w:ind w:firstLine="720"/>
        <w:rPr>
          <w:sz w:val="24"/>
          <w:szCs w:val="24"/>
        </w:rPr>
      </w:pPr>
      <w:r>
        <w:rPr>
          <w:sz w:val="24"/>
          <w:szCs w:val="24"/>
          <w:rtl w:val="0"/>
          <w:lang w:val="en-US"/>
        </w:rPr>
        <w:t xml:space="preserve">Intel / Tatyana Nikolova  </w:t>
      </w:r>
    </w:p>
    <w:p>
      <w:pPr>
        <w:pStyle w:val="Body Text"/>
      </w:pPr>
    </w:p>
    <w:p>
      <w:pPr>
        <w:pStyle w:val="Body Text"/>
        <w:numPr>
          <w:ilvl w:val="0"/>
          <w:numId w:val="5"/>
        </w:numPr>
        <w:bidi w:val="0"/>
        <w:ind w:right="0"/>
        <w:jc w:val="left"/>
        <w:rPr>
          <w:rtl w:val="0"/>
          <w:lang w:val="en-US"/>
        </w:rPr>
      </w:pPr>
      <w:r>
        <w:rPr>
          <w:rtl w:val="0"/>
          <w:lang w:val="en-US"/>
        </w:rPr>
        <w:t>Opens, Agenda Bashing</w:t>
      </w:r>
    </w:p>
    <w:p>
      <w:pPr>
        <w:pStyle w:val="Body Text"/>
        <w:numPr>
          <w:ilvl w:val="1"/>
          <w:numId w:val="7"/>
        </w:numPr>
        <w:bidi w:val="0"/>
        <w:ind w:right="0"/>
        <w:jc w:val="left"/>
        <w:rPr>
          <w:rtl w:val="0"/>
          <w:lang w:val="en-US"/>
        </w:rPr>
      </w:pPr>
      <w:r>
        <w:rPr>
          <w:rtl w:val="0"/>
          <w:lang w:val="en-US"/>
        </w:rPr>
        <w:t>Hauwei - Renewal is approved and just waiting on final receipt of payment</w:t>
      </w:r>
    </w:p>
    <w:p>
      <w:pPr>
        <w:pStyle w:val="Body Text"/>
      </w:pPr>
    </w:p>
    <w:p>
      <w:pPr>
        <w:pStyle w:val="Body Text"/>
        <w:numPr>
          <w:ilvl w:val="0"/>
          <w:numId w:val="8"/>
        </w:numPr>
        <w:bidi w:val="0"/>
        <w:ind w:right="0"/>
        <w:jc w:val="left"/>
        <w:rPr>
          <w:rtl w:val="0"/>
          <w:lang w:val="en-US"/>
        </w:rPr>
      </w:pPr>
      <w:r>
        <w:rPr>
          <w:rtl w:val="0"/>
          <w:lang w:val="en-US"/>
        </w:rPr>
        <w:t xml:space="preserve">Approve Board minutes from </w:t>
      </w:r>
      <w:r>
        <w:rPr>
          <w:rStyle w:val="Hyperlink.0"/>
        </w:rPr>
        <w:fldChar w:fldCharType="begin" w:fldLock="0"/>
      </w:r>
      <w:r>
        <w:rPr>
          <w:rStyle w:val="Hyperlink.0"/>
        </w:rPr>
        <w:instrText xml:space="preserve"> HYPERLINK "https://downloads.openfabrics.org/WorkGroups/board/minutes_board_xwg_2024/OFA_Minutes_20241114_Board.docx"</w:instrText>
      </w:r>
      <w:r>
        <w:rPr>
          <w:rStyle w:val="Hyperlink.0"/>
        </w:rPr>
        <w:fldChar w:fldCharType="separate" w:fldLock="0"/>
      </w:r>
      <w:r>
        <w:rPr>
          <w:rStyle w:val="Hyperlink.0"/>
          <w:rtl w:val="0"/>
          <w:lang w:val="en-US"/>
        </w:rPr>
        <w:t>Nov. 14, 2024</w:t>
      </w:r>
      <w:r>
        <w:rPr/>
        <w:fldChar w:fldCharType="end" w:fldLock="0"/>
      </w:r>
    </w:p>
    <w:p>
      <w:pPr>
        <w:pStyle w:val="Body Text"/>
        <w:numPr>
          <w:ilvl w:val="1"/>
          <w:numId w:val="7"/>
        </w:numPr>
        <w:bidi w:val="0"/>
        <w:ind w:right="0"/>
        <w:jc w:val="left"/>
        <w:rPr>
          <w:rtl w:val="0"/>
          <w:lang w:val="en-US"/>
        </w:rPr>
      </w:pPr>
      <w:r>
        <w:rPr>
          <w:rStyle w:val="None"/>
          <w:rtl w:val="0"/>
          <w:lang w:val="en-US"/>
        </w:rPr>
        <w:t>Intel moves, Sandia seconds: minutes are approved unanimously</w:t>
      </w:r>
    </w:p>
    <w:p>
      <w:pPr>
        <w:pStyle w:val="Body Text"/>
        <w:rPr>
          <w:rStyle w:val="None"/>
        </w:rPr>
      </w:pPr>
    </w:p>
    <w:p>
      <w:pPr>
        <w:pStyle w:val="Body Text"/>
        <w:numPr>
          <w:ilvl w:val="0"/>
          <w:numId w:val="9"/>
        </w:numPr>
        <w:bidi w:val="0"/>
        <w:ind w:right="0"/>
        <w:jc w:val="left"/>
        <w:rPr>
          <w:rtl w:val="0"/>
          <w:lang w:val="en-US"/>
        </w:rPr>
      </w:pPr>
      <w:r>
        <w:rPr>
          <w:rStyle w:val="None"/>
          <w:rtl w:val="0"/>
          <w:lang w:val="en-US"/>
        </w:rPr>
        <w:t>Working Group Updates</w:t>
      </w:r>
    </w:p>
    <w:p>
      <w:pPr>
        <w:pStyle w:val="Body Text"/>
        <w:numPr>
          <w:ilvl w:val="1"/>
          <w:numId w:val="7"/>
        </w:numPr>
        <w:bidi w:val="0"/>
        <w:ind w:right="0"/>
        <w:jc w:val="left"/>
        <w:rPr>
          <w:rtl w:val="0"/>
          <w:lang w:val="en-US"/>
        </w:rPr>
      </w:pPr>
      <w:r>
        <w:rPr>
          <w:rStyle w:val="None"/>
          <w:rtl w:val="0"/>
          <w:lang w:val="en-US"/>
        </w:rPr>
        <w:t>OFIWG</w:t>
      </w:r>
    </w:p>
    <w:p>
      <w:pPr>
        <w:pStyle w:val="Body Text"/>
        <w:numPr>
          <w:ilvl w:val="2"/>
          <w:numId w:val="2"/>
        </w:numPr>
        <w:bidi w:val="0"/>
        <w:ind w:right="0"/>
        <w:jc w:val="left"/>
        <w:rPr>
          <w:rtl w:val="0"/>
          <w:lang w:val="en-US"/>
        </w:rPr>
      </w:pPr>
      <w:r>
        <w:rPr>
          <w:rStyle w:val="None"/>
          <w:rtl w:val="0"/>
          <w:lang w:val="en-US"/>
        </w:rPr>
        <w:t>Regular cadence of releases scheduled for the remainder of the year</w:t>
      </w:r>
    </w:p>
    <w:p>
      <w:pPr>
        <w:pStyle w:val="Body Text"/>
        <w:numPr>
          <w:ilvl w:val="2"/>
          <w:numId w:val="2"/>
        </w:numPr>
        <w:bidi w:val="0"/>
        <w:ind w:right="0"/>
        <w:jc w:val="left"/>
        <w:rPr>
          <w:rtl w:val="0"/>
          <w:lang w:val="en-US"/>
        </w:rPr>
      </w:pPr>
      <w:r>
        <w:rPr>
          <w:rStyle w:val="None"/>
          <w:rtl w:val="0"/>
          <w:lang w:val="en-US"/>
        </w:rPr>
        <w:t>Libfabrics 2.x scheduled to release this year - Intended to include Ultra Ethernet support</w:t>
      </w:r>
    </w:p>
    <w:p>
      <w:pPr>
        <w:pStyle w:val="Body Text"/>
        <w:numPr>
          <w:ilvl w:val="1"/>
          <w:numId w:val="7"/>
        </w:numPr>
        <w:bidi w:val="0"/>
        <w:ind w:right="0"/>
        <w:jc w:val="left"/>
        <w:rPr>
          <w:rtl w:val="0"/>
          <w:lang w:val="en-US"/>
        </w:rPr>
      </w:pPr>
      <w:r>
        <w:rPr>
          <w:rStyle w:val="None"/>
          <w:rtl w:val="0"/>
          <w:lang w:val="en-US"/>
        </w:rPr>
        <w:t>OFMFWG</w:t>
      </w:r>
    </w:p>
    <w:p>
      <w:pPr>
        <w:pStyle w:val="Body Text"/>
        <w:numPr>
          <w:ilvl w:val="2"/>
          <w:numId w:val="10"/>
        </w:numPr>
        <w:bidi w:val="0"/>
        <w:ind w:right="0"/>
        <w:jc w:val="left"/>
        <w:rPr>
          <w:rtl w:val="0"/>
          <w:lang w:val="en-US"/>
        </w:rPr>
      </w:pPr>
      <w:r>
        <w:rPr>
          <w:rStyle w:val="None"/>
          <w:rtl w:val="0"/>
          <w:lang w:val="en-US"/>
        </w:rPr>
        <w:t>Close to having a deployment using sunfish to deploy NVMe over Fabrics</w:t>
      </w:r>
    </w:p>
    <w:p>
      <w:pPr>
        <w:pStyle w:val="Body Text"/>
        <w:numPr>
          <w:ilvl w:val="2"/>
          <w:numId w:val="2"/>
        </w:numPr>
        <w:bidi w:val="0"/>
        <w:ind w:right="0"/>
        <w:jc w:val="left"/>
        <w:rPr>
          <w:rtl w:val="0"/>
          <w:lang w:val="en-US"/>
        </w:rPr>
      </w:pPr>
      <w:r>
        <w:rPr>
          <w:rStyle w:val="None"/>
          <w:rtl w:val="0"/>
          <w:lang w:val="en-US"/>
        </w:rPr>
        <w:t>Would like to try and do a BoF at SC25</w:t>
      </w:r>
    </w:p>
    <w:p>
      <w:pPr>
        <w:pStyle w:val="Body Text"/>
        <w:numPr>
          <w:ilvl w:val="2"/>
          <w:numId w:val="2"/>
        </w:numPr>
        <w:bidi w:val="0"/>
        <w:ind w:right="0"/>
        <w:jc w:val="left"/>
        <w:rPr>
          <w:rtl w:val="0"/>
          <w:lang w:val="en-US"/>
        </w:rPr>
      </w:pPr>
      <w:r>
        <w:rPr>
          <w:rStyle w:val="None"/>
          <w:rtl w:val="0"/>
          <w:lang w:val="en-US"/>
        </w:rPr>
        <w:t>Discussion of using Gen AI for code generation: consensus seems to be you can use Gen AI to create a skeleton implementation, but anyone submitting code *must* fully review the code prior to submission and take full responsibility for anything they submit</w:t>
      </w:r>
    </w:p>
    <w:p>
      <w:pPr>
        <w:pStyle w:val="Body Text"/>
        <w:numPr>
          <w:ilvl w:val="1"/>
          <w:numId w:val="7"/>
        </w:numPr>
        <w:bidi w:val="0"/>
        <w:ind w:right="0"/>
        <w:jc w:val="left"/>
        <w:rPr>
          <w:rtl w:val="0"/>
          <w:lang w:val="en-US"/>
        </w:rPr>
      </w:pPr>
      <w:r>
        <w:rPr>
          <w:rStyle w:val="None"/>
          <w:rtl w:val="0"/>
          <w:lang w:val="en-US"/>
        </w:rPr>
        <w:t>FSDPWG</w:t>
      </w:r>
    </w:p>
    <w:p>
      <w:pPr>
        <w:pStyle w:val="Body Text"/>
        <w:numPr>
          <w:ilvl w:val="2"/>
          <w:numId w:val="11"/>
        </w:numPr>
        <w:bidi w:val="0"/>
        <w:ind w:right="0"/>
        <w:jc w:val="left"/>
        <w:rPr>
          <w:rtl w:val="0"/>
          <w:lang w:val="en-US"/>
        </w:rPr>
      </w:pPr>
      <w:r>
        <w:rPr>
          <w:rStyle w:val="None"/>
          <w:rtl w:val="0"/>
          <w:lang w:val="en-US"/>
        </w:rPr>
        <w:t>UNH-IOL has started the shutdown process</w:t>
      </w:r>
    </w:p>
    <w:p>
      <w:pPr>
        <w:pStyle w:val="Body Text"/>
        <w:numPr>
          <w:ilvl w:val="2"/>
          <w:numId w:val="2"/>
        </w:numPr>
        <w:bidi w:val="0"/>
        <w:ind w:right="0"/>
        <w:jc w:val="left"/>
        <w:rPr>
          <w:rtl w:val="0"/>
          <w:lang w:val="en-US"/>
        </w:rPr>
      </w:pPr>
      <w:r>
        <w:rPr>
          <w:rStyle w:val="None"/>
          <w:rtl w:val="0"/>
          <w:lang w:val="en-US"/>
        </w:rPr>
        <w:t>They are keeping the hardware to repurpose it</w:t>
      </w:r>
    </w:p>
    <w:p>
      <w:pPr>
        <w:pStyle w:val="Body Text"/>
        <w:numPr>
          <w:ilvl w:val="2"/>
          <w:numId w:val="2"/>
        </w:numPr>
        <w:bidi w:val="0"/>
        <w:ind w:right="0"/>
        <w:jc w:val="left"/>
        <w:rPr>
          <w:rtl w:val="0"/>
          <w:lang w:val="en-US"/>
        </w:rPr>
      </w:pPr>
      <w:r>
        <w:rPr>
          <w:rStyle w:val="None"/>
          <w:rtl w:val="0"/>
          <w:lang w:val="en-US"/>
        </w:rPr>
        <w:t>Red Hat has shut down the pipeline runners</w:t>
      </w:r>
    </w:p>
    <w:p>
      <w:pPr>
        <w:pStyle w:val="Body Text"/>
        <w:numPr>
          <w:ilvl w:val="2"/>
          <w:numId w:val="2"/>
        </w:numPr>
        <w:bidi w:val="0"/>
        <w:ind w:right="0"/>
        <w:jc w:val="left"/>
        <w:rPr>
          <w:rtl w:val="0"/>
          <w:lang w:val="en-US"/>
        </w:rPr>
      </w:pPr>
      <w:r>
        <w:rPr>
          <w:rStyle w:val="None"/>
          <w:rtl w:val="0"/>
          <w:lang w:val="en-US"/>
        </w:rPr>
        <w:t xml:space="preserve">The </w:t>
      </w:r>
      <w:r>
        <w:rPr>
          <w:rStyle w:val="Hyperlink.0"/>
        </w:rPr>
        <w:fldChar w:fldCharType="begin" w:fldLock="0"/>
      </w:r>
      <w:r>
        <w:rPr>
          <w:rStyle w:val="Hyperlink.0"/>
        </w:rPr>
        <w:instrText xml:space="preserve"> HYPERLINK "mailto:fsdpwg@lists.openfabrics.org"</w:instrText>
      </w:r>
      <w:r>
        <w:rPr>
          <w:rStyle w:val="Hyperlink.0"/>
        </w:rPr>
        <w:fldChar w:fldCharType="separate" w:fldLock="0"/>
      </w:r>
      <w:r>
        <w:rPr>
          <w:rStyle w:val="Hyperlink.0"/>
          <w:rtl w:val="0"/>
          <w:lang w:val="en-US"/>
        </w:rPr>
        <w:t>fsdpwg@lists.openfabrics.org</w:t>
      </w:r>
      <w:r>
        <w:rPr/>
        <w:fldChar w:fldCharType="end" w:fldLock="0"/>
      </w:r>
      <w:r>
        <w:rPr>
          <w:rStyle w:val="None"/>
          <w:rtl w:val="0"/>
          <w:lang w:val="en-US"/>
        </w:rPr>
        <w:t xml:space="preserve"> mailing has been disabled</w:t>
      </w:r>
    </w:p>
    <w:p>
      <w:pPr>
        <w:pStyle w:val="Body Text"/>
        <w:numPr>
          <w:ilvl w:val="1"/>
          <w:numId w:val="7"/>
        </w:numPr>
        <w:bidi w:val="0"/>
        <w:ind w:right="0"/>
        <w:jc w:val="left"/>
        <w:rPr>
          <w:rtl w:val="0"/>
          <w:lang w:val="en-US"/>
        </w:rPr>
      </w:pPr>
      <w:r>
        <w:rPr>
          <w:rStyle w:val="None"/>
          <w:rtl w:val="0"/>
          <w:lang w:val="en-US"/>
        </w:rPr>
        <w:t>MWG</w:t>
      </w:r>
    </w:p>
    <w:p>
      <w:pPr>
        <w:pStyle w:val="Body Text"/>
        <w:numPr>
          <w:ilvl w:val="2"/>
          <w:numId w:val="12"/>
        </w:numPr>
        <w:bidi w:val="0"/>
        <w:ind w:right="0"/>
        <w:jc w:val="left"/>
        <w:rPr>
          <w:rtl w:val="0"/>
          <w:lang w:val="en-US"/>
        </w:rPr>
      </w:pPr>
      <w:r>
        <w:rPr>
          <w:rStyle w:val="None"/>
          <w:rtl w:val="0"/>
          <w:lang w:val="en-US"/>
        </w:rPr>
        <w:t>Like to use sunfish in the webinar series, at SciNET, and some other upcoming talks</w:t>
      </w:r>
    </w:p>
    <w:p>
      <w:pPr>
        <w:pStyle w:val="Body Text"/>
        <w:rPr>
          <w:rStyle w:val="None"/>
        </w:rPr>
      </w:pPr>
    </w:p>
    <w:p>
      <w:pPr>
        <w:pStyle w:val="Body Text"/>
        <w:numPr>
          <w:ilvl w:val="0"/>
          <w:numId w:val="13"/>
        </w:numPr>
        <w:bidi w:val="0"/>
        <w:ind w:right="0"/>
        <w:jc w:val="left"/>
        <w:rPr>
          <w:rtl w:val="0"/>
          <w:lang w:val="en-US"/>
        </w:rPr>
      </w:pPr>
      <w:r>
        <w:rPr>
          <w:rStyle w:val="None"/>
          <w:rtl w:val="0"/>
          <w:lang w:val="en-US"/>
        </w:rPr>
        <w:t>Fix minutes for Dec. 2, 2024 and Feb. 6, 2025 (they are currently missing, they might have been sent off-list to dledford, but were not sent to ofa_boardplus according to the archives and dledford no longer has access to his old emails)</w:t>
      </w:r>
    </w:p>
    <w:p>
      <w:pPr>
        <w:pStyle w:val="Body Text"/>
        <w:rPr>
          <w:rStyle w:val="None"/>
        </w:rPr>
      </w:pPr>
    </w:p>
    <w:p>
      <w:pPr>
        <w:pStyle w:val="Body Text"/>
        <w:numPr>
          <w:ilvl w:val="0"/>
          <w:numId w:val="13"/>
        </w:numPr>
        <w:bidi w:val="0"/>
        <w:ind w:right="0"/>
        <w:jc w:val="left"/>
        <w:rPr>
          <w:rtl w:val="0"/>
          <w:lang w:val="en-US"/>
        </w:rPr>
      </w:pPr>
      <w:r>
        <w:rPr>
          <w:rStyle w:val="None"/>
          <w:rtl w:val="0"/>
          <w:lang w:val="en-US"/>
        </w:rPr>
        <w:t>Webinar Proposal</w:t>
      </w:r>
    </w:p>
    <w:p>
      <w:pPr>
        <w:pStyle w:val="Body Text"/>
        <w:numPr>
          <w:ilvl w:val="1"/>
          <w:numId w:val="7"/>
        </w:numPr>
        <w:bidi w:val="0"/>
        <w:ind w:right="0"/>
        <w:jc w:val="left"/>
        <w:rPr>
          <w:rtl w:val="0"/>
          <w:lang w:val="en-US"/>
        </w:rPr>
      </w:pPr>
      <w:r>
        <w:rPr>
          <w:rStyle w:val="None"/>
          <w:rtl w:val="0"/>
          <w:lang w:val="en-US"/>
        </w:rPr>
        <w:t>Replace in-person conference with a series of webinars</w:t>
      </w:r>
    </w:p>
    <w:p>
      <w:pPr>
        <w:pStyle w:val="Body Text"/>
        <w:numPr>
          <w:ilvl w:val="2"/>
          <w:numId w:val="13"/>
        </w:numPr>
        <w:bidi w:val="0"/>
        <w:ind w:right="0"/>
        <w:jc w:val="left"/>
        <w:rPr>
          <w:rtl w:val="0"/>
          <w:lang w:val="en-US"/>
        </w:rPr>
      </w:pPr>
      <w:r>
        <w:rPr>
          <w:rStyle w:val="None"/>
          <w:rtl w:val="0"/>
          <w:lang w:val="en-US"/>
        </w:rPr>
        <w:t>In-person conference usually has lots of tracks/sessions, where quality varies a lot</w:t>
      </w:r>
    </w:p>
    <w:p>
      <w:pPr>
        <w:pStyle w:val="Body Text"/>
        <w:numPr>
          <w:ilvl w:val="2"/>
          <w:numId w:val="13"/>
        </w:numPr>
        <w:bidi w:val="0"/>
        <w:ind w:right="0"/>
        <w:jc w:val="left"/>
        <w:rPr>
          <w:rtl w:val="0"/>
          <w:lang w:val="en-US"/>
        </w:rPr>
      </w:pPr>
      <w:r>
        <w:rPr>
          <w:rStyle w:val="None"/>
          <w:rtl w:val="0"/>
          <w:lang w:val="en-US"/>
        </w:rPr>
        <w:t>A webinar series reduces the number of items we might present to the public, but makes them cheaper to consume and easier to consume, while also allowing individual webinars to be of higher quality</w:t>
      </w:r>
    </w:p>
    <w:p>
      <w:pPr>
        <w:pStyle w:val="Body Text"/>
        <w:numPr>
          <w:ilvl w:val="2"/>
          <w:numId w:val="13"/>
        </w:numPr>
        <w:bidi w:val="0"/>
        <w:ind w:right="0"/>
        <w:jc w:val="left"/>
        <w:rPr>
          <w:rtl w:val="0"/>
          <w:lang w:val="en-US"/>
        </w:rPr>
      </w:pPr>
      <w:r>
        <w:rPr>
          <w:rStyle w:val="None"/>
          <w:rtl w:val="0"/>
          <w:lang w:val="en-US"/>
        </w:rPr>
        <w:t>Need to get the cost estimate from Liz and make a proposal at the next Board meeting to cancel the in-person conference in lieu of a new webinar series to get our names in front of people on a regular basis.</w:t>
      </w:r>
    </w:p>
    <w:p>
      <w:pPr>
        <w:pStyle w:val="Body Text"/>
        <w:numPr>
          <w:ilvl w:val="2"/>
          <w:numId w:val="13"/>
        </w:numPr>
        <w:bidi w:val="0"/>
        <w:ind w:right="0"/>
        <w:jc w:val="left"/>
        <w:rPr>
          <w:rtl w:val="0"/>
          <w:lang w:val="en-US"/>
        </w:rPr>
      </w:pPr>
      <w:r>
        <w:rPr>
          <w:rStyle w:val="None"/>
          <w:rtl w:val="0"/>
          <w:lang w:val="en-US"/>
        </w:rPr>
        <w:t>Would we allow companies to basically purchase a spot in our webinar series if they wanted to?</w:t>
      </w:r>
    </w:p>
    <w:p>
      <w:pPr>
        <w:pStyle w:val="Body Text"/>
        <w:numPr>
          <w:ilvl w:val="3"/>
          <w:numId w:val="13"/>
        </w:numPr>
        <w:bidi w:val="0"/>
        <w:ind w:right="0"/>
        <w:jc w:val="left"/>
        <w:rPr>
          <w:rtl w:val="0"/>
          <w:lang w:val="en-US"/>
        </w:rPr>
      </w:pPr>
      <w:r>
        <w:rPr>
          <w:rStyle w:val="None"/>
          <w:rtl w:val="0"/>
          <w:lang w:val="en-US"/>
        </w:rPr>
        <w:t>A couple thoughts: Substance over marketing, a couple ratios tossed out have been 70% technical and 30% marketing, or at most 50/50.  The company would pay all hard costs and a fee for the platform.</w:t>
      </w:r>
    </w:p>
    <w:sectPr>
      <w:headerReference w:type="default" r:id="rId4"/>
      <w:footerReference w:type="default" r:id="rId5"/>
      <w:pgSz w:w="12240" w:h="15840" w:orient="portrait"/>
      <w:pgMar w:top="1440" w:right="1800" w:bottom="1440" w:left="180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right" w:pos="8620"/>
        <w:tab w:val="clear" w:pos="902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3854025</wp:posOffset>
              </wp:positionH>
              <wp:positionV relativeFrom="page">
                <wp:posOffset>9373234</wp:posOffset>
              </wp:positionV>
              <wp:extent cx="64347" cy="134305"/>
              <wp:effectExtent l="0" t="0" r="0" b="0"/>
              <wp:wrapNone/>
              <wp:docPr id="1073741825" name="officeArt object" descr="Frame1"/>
              <wp:cNvGraphicFramePr/>
              <a:graphic xmlns:a="http://schemas.openxmlformats.org/drawingml/2006/main">
                <a:graphicData uri="http://schemas.microsoft.com/office/word/2010/wordprocessingShape">
                  <wps:wsp>
                    <wps:cNvSpPr txBox="1"/>
                    <wps:spPr>
                      <a:xfrm>
                        <a:off x="0" y="0"/>
                        <a:ext cx="64347" cy="134305"/>
                      </a:xfrm>
                      <a:prstGeom prst="rect">
                        <a:avLst/>
                      </a:prstGeom>
                      <a:noFill/>
                      <a:ln w="12700" cap="flat">
                        <a:noFill/>
                        <a:miter lim="400000"/>
                      </a:ln>
                      <a:effectLst/>
                    </wps:spPr>
                    <wps:txb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303.5pt;margin-top:738.0pt;width:5.1pt;height:10.6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59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9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9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9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99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9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9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9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0"/>
  </w:abstractNum>
  <w:abstractNum w:abstractNumId="5">
    <w:multiLevelType w:val="hybridMultilevel"/>
    <w:styleLink w:val="Imported Style 2.0"/>
    <w:lvl w:ilvl="0">
      <w:start w:val="1"/>
      <w:numFmt w:val="bullet"/>
      <w:suff w:val="tab"/>
      <w:lvlText w:val="•"/>
      <w:lvlJc w:val="left"/>
      <w:pPr>
        <w:ind w:left="518" w:hanging="51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Override>
  </w:num>
  <w:num w:numId="9">
    <w:abstractNumId w:val="0"/>
    <w:lvlOverride w:ilvl="0">
      <w:startOverride w:val="4"/>
    </w:lvlOverride>
  </w:num>
  <w:num w:numId="10">
    <w:abstractNumId w:val="0"/>
    <w:lvlOverride w:ilvl="2">
      <w:startOverride w:val="3"/>
    </w:lvlOverride>
  </w:num>
  <w:num w:numId="11">
    <w:abstractNumId w:val="0"/>
    <w:lvlOverride w:ilvl="2">
      <w:startOverride w:val="6"/>
    </w:lvlOverride>
  </w:num>
  <w:num w:numId="12">
    <w:abstractNumId w:val="0"/>
    <w:lvlOverride w:ilvl="2">
      <w:startOverride w:val="10"/>
    </w:lvlOverride>
  </w:num>
  <w:num w:numId="13">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3.%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3.%4.%5."/>
        <w:lvlJc w:val="left"/>
        <w:pPr>
          <w:tabs>
            <w:tab w:val="num" w:pos="2232"/>
          </w:tabs>
          <w:ind w:left="2472" w:hanging="10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3.%4.%5.%6."/>
        <w:lvlJc w:val="left"/>
        <w:pPr>
          <w:tabs>
            <w:tab w:val="num" w:pos="2736"/>
          </w:tabs>
          <w:ind w:left="2976" w:hanging="1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3.%4.%5.%6.%7."/>
        <w:lvlJc w:val="left"/>
        <w:pPr>
          <w:tabs>
            <w:tab w:val="num" w:pos="3240"/>
          </w:tabs>
          <w:ind w:left="348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3.%4.%5.%6.%7.%8."/>
        <w:lvlJc w:val="left"/>
        <w:pPr>
          <w:tabs>
            <w:tab w:val="num" w:pos="3744"/>
          </w:tabs>
          <w:ind w:left="3984" w:hanging="14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3.%4.%5.%6.%7.%8.%9."/>
        <w:lvlJc w:val="left"/>
        <w:pPr>
          <w:tabs>
            <w:tab w:val="num" w:pos="4320"/>
          </w:tabs>
          <w:ind w:left="4560" w:hanging="168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Bullets">
    <w:name w:val="Bullets"/>
    <w:pPr>
      <w:numPr>
        <w:numId w:val="3"/>
      </w:numPr>
    </w:pPr>
  </w:style>
  <w:style w:type="numbering" w:styleId="Imported Style 2.0">
    <w:name w:val="Imported Style 2.0"/>
    <w:pPr>
      <w:numPr>
        <w:numId w:val="6"/>
      </w:numPr>
    </w:p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