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60F5" w14:textId="4BAFEBC2" w:rsidR="00992001" w:rsidRDefault="2F59172B" w:rsidP="00D42044">
      <w:pPr>
        <w:pStyle w:val="Heading3"/>
        <w:rPr>
          <w:lang w:val="en-GB"/>
        </w:rPr>
      </w:pPr>
      <w:proofErr w:type="spellStart"/>
      <w:r w:rsidRPr="2F59172B">
        <w:rPr>
          <w:rFonts w:eastAsia="Calibri"/>
          <w:lang w:val="en-GB"/>
        </w:rPr>
        <w:t>ComputerSystem</w:t>
      </w:r>
      <w:proofErr w:type="spellEnd"/>
      <w:r w:rsidRPr="2F59172B">
        <w:rPr>
          <w:rFonts w:eastAsia="Calibri"/>
          <w:lang w:val="en-GB"/>
        </w:rPr>
        <w:t xml:space="preserve"> creation via Constrained Composition through the </w:t>
      </w:r>
      <w:proofErr w:type="spellStart"/>
      <w:r w:rsidRPr="2F59172B">
        <w:rPr>
          <w:rFonts w:eastAsia="Calibri"/>
          <w:lang w:val="en-GB"/>
        </w:rPr>
        <w:t>ComposabilityService</w:t>
      </w:r>
      <w:proofErr w:type="spellEnd"/>
    </w:p>
    <w:p w14:paraId="36F44792" w14:textId="7EA5520A" w:rsidR="00992001" w:rsidRDefault="00992001" w:rsidP="00D5175C">
      <w:pPr>
        <w:jc w:val="both"/>
        <w:rPr>
          <w:lang w:val="en-GB"/>
        </w:rPr>
      </w:pPr>
    </w:p>
    <w:p w14:paraId="02E51F85" w14:textId="16167433" w:rsidR="002D4524" w:rsidRDefault="0077030E" w:rsidP="00621BCD">
      <w:pPr>
        <w:keepNext/>
        <w:jc w:val="center"/>
      </w:pPr>
      <w:r>
        <w:rPr>
          <w:noProof/>
        </w:rPr>
        <w:drawing>
          <wp:inline distT="0" distB="0" distL="0" distR="0" wp14:anchorId="7674770E" wp14:editId="0E7AC251">
            <wp:extent cx="5943600" cy="58566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95261" w14:textId="0B1882BF" w:rsidR="00992001" w:rsidRPr="00992001" w:rsidRDefault="002D4524" w:rsidP="00621BCD">
      <w:pPr>
        <w:pStyle w:val="Caption"/>
        <w:jc w:val="center"/>
        <w:rPr>
          <w:rFonts w:eastAsia="Calibri"/>
          <w:lang w:val="en-GB"/>
        </w:rPr>
      </w:pPr>
      <w:bookmarkStart w:id="0" w:name="_Ref106805116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r>
        <w:t xml:space="preserve">: Option 1 — </w:t>
      </w:r>
      <w:r w:rsidR="00052344">
        <w:t>T</w:t>
      </w:r>
      <w:r>
        <w:t>he Composability Manager defines Resources Blocks objects</w:t>
      </w:r>
    </w:p>
    <w:p w14:paraId="712AC205" w14:textId="49CC0759" w:rsidR="00992001" w:rsidRDefault="00992001" w:rsidP="00D5175C">
      <w:pPr>
        <w:jc w:val="both"/>
        <w:rPr>
          <w:lang w:val="en-GB"/>
        </w:rPr>
      </w:pPr>
    </w:p>
    <w:p w14:paraId="23AB7CB1" w14:textId="7B1840FF" w:rsidR="002D4524" w:rsidRPr="009B7F93" w:rsidRDefault="00E21082" w:rsidP="00621BCD">
      <w:pPr>
        <w:keepNext/>
        <w:jc w:val="center"/>
        <w:rPr>
          <w:lang w:val="en-GB"/>
        </w:rPr>
      </w:pPr>
      <w:r>
        <w:rPr>
          <w:noProof/>
          <w:lang w:val="en-GB"/>
        </w:rPr>
        <w:lastRenderedPageBreak/>
        <w:drawing>
          <wp:inline distT="0" distB="0" distL="0" distR="0" wp14:anchorId="6C828287" wp14:editId="6A54FD92">
            <wp:extent cx="5930900" cy="4826000"/>
            <wp:effectExtent l="0" t="0" r="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2C5E3" w14:textId="784123B5" w:rsidR="00992001" w:rsidRDefault="002D4524" w:rsidP="00D42044">
      <w:pPr>
        <w:pStyle w:val="Caption"/>
        <w:jc w:val="center"/>
      </w:pPr>
      <w:bookmarkStart w:id="1" w:name="_Ref106805144"/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1"/>
      <w:r>
        <w:t>: Option 2 — The Provider defines the Resource Blocks and replicates the objects in the OFMF</w:t>
      </w:r>
    </w:p>
    <w:p w14:paraId="557E3557" w14:textId="77777777" w:rsidR="002D4524" w:rsidRPr="002D4524" w:rsidRDefault="002D4524" w:rsidP="00D5175C">
      <w:pPr>
        <w:jc w:val="both"/>
        <w:rPr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1"/>
        <w:gridCol w:w="7324"/>
      </w:tblGrid>
      <w:tr w:rsidR="2F59172B" w14:paraId="25480EEC" w14:textId="77777777" w:rsidTr="5E190DA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1E964" w14:textId="4797A4F9" w:rsidR="2F59172B" w:rsidRDefault="2F59172B" w:rsidP="00D5175C">
            <w:r w:rsidRPr="2F59172B">
              <w:rPr>
                <w:rFonts w:ascii="Calibri" w:eastAsia="Calibri" w:hAnsi="Calibri" w:cs="Calibri"/>
                <w:sz w:val="24"/>
                <w:szCs w:val="24"/>
              </w:rPr>
              <w:t>Use Case Description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2C1A1" w14:textId="4B4BDC83" w:rsidR="2F59172B" w:rsidRDefault="2F59172B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rPr>
                <w:rFonts w:eastAsiaTheme="minorEastAsia"/>
              </w:rPr>
            </w:pPr>
            <w:r w:rsidRPr="2F59172B">
              <w:t xml:space="preserve">User </w:t>
            </w:r>
            <w:r w:rsidR="006E79E2">
              <w:t>requests a</w:t>
            </w:r>
            <w:r w:rsidRPr="2F59172B">
              <w:t xml:space="preserve"> new </w:t>
            </w:r>
            <w:proofErr w:type="spellStart"/>
            <w:r w:rsidRPr="2F59172B">
              <w:t>ComputerSystem</w:t>
            </w:r>
            <w:proofErr w:type="spellEnd"/>
            <w:r w:rsidRPr="2F59172B">
              <w:t xml:space="preserve"> creation in the form of a </w:t>
            </w:r>
            <w:commentRangeStart w:id="2"/>
            <w:r w:rsidRPr="2F59172B">
              <w:t>Specific Composition request</w:t>
            </w:r>
            <w:commentRangeEnd w:id="2"/>
            <w:r>
              <w:commentReference w:id="2"/>
            </w:r>
            <w:r w:rsidRPr="2F59172B">
              <w:t xml:space="preserve"> to </w:t>
            </w:r>
            <w:r w:rsidR="00D5175C" w:rsidRPr="2F59172B">
              <w:t>the Composability</w:t>
            </w:r>
            <w:r w:rsidRPr="2F59172B">
              <w:t xml:space="preserve"> Service</w:t>
            </w:r>
            <w:r w:rsidR="00992001">
              <w:t>.</w:t>
            </w:r>
            <w:r w:rsidRPr="2F59172B">
              <w:t xml:space="preserve"> </w:t>
            </w:r>
          </w:p>
        </w:tc>
      </w:tr>
      <w:tr w:rsidR="2F59172B" w14:paraId="75B2C4DC" w14:textId="77777777" w:rsidTr="5E190DA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67531" w14:textId="20AE09AA" w:rsidR="2F59172B" w:rsidRDefault="2F59172B" w:rsidP="00D5175C">
            <w:r w:rsidRPr="2F59172B">
              <w:rPr>
                <w:rFonts w:ascii="Calibri" w:eastAsia="Calibri" w:hAnsi="Calibri" w:cs="Calibri"/>
                <w:sz w:val="24"/>
                <w:szCs w:val="24"/>
              </w:rPr>
              <w:t>Actors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63B76" w14:textId="3E3E88EF" w:rsidR="2F59172B" w:rsidRDefault="5E190DAD" w:rsidP="5E190DAD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rPr>
                <w:rFonts w:eastAsiaTheme="minorEastAsia"/>
              </w:rPr>
            </w:pPr>
            <w:r>
              <w:t>User (System administrator, Infrastructure Providers), Composability Service, OFMF &amp; Provider.</w:t>
            </w:r>
          </w:p>
          <w:p w14:paraId="5D666400" w14:textId="5518DD93" w:rsidR="2F59172B" w:rsidRDefault="5E190DAD" w:rsidP="5E190DAD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rPr>
                <w:rFonts w:eastAsiaTheme="minorEastAsia"/>
              </w:rPr>
            </w:pPr>
            <w:r>
              <w:t xml:space="preserve">The Composability Service is a client of the OFMF and implements a policy to compose new </w:t>
            </w:r>
            <w:proofErr w:type="spellStart"/>
            <w:r>
              <w:t>ComputerSystems</w:t>
            </w:r>
            <w:proofErr w:type="spellEnd"/>
            <w:r>
              <w:t xml:space="preserve">. It receives Constrained Composition requests containing the resource constrains that the new system must meet (# CPU, GBs of volatile memory, </w:t>
            </w:r>
            <w:proofErr w:type="spellStart"/>
            <w:proofErr w:type="gramStart"/>
            <w:r>
              <w:t>storage,etc</w:t>
            </w:r>
            <w:proofErr w:type="spellEnd"/>
            <w:r>
              <w:t>.</w:t>
            </w:r>
            <w:proofErr w:type="gramEnd"/>
            <w:r>
              <w:t>.).</w:t>
            </w:r>
          </w:p>
        </w:tc>
      </w:tr>
      <w:tr w:rsidR="2F59172B" w14:paraId="3A404216" w14:textId="77777777" w:rsidTr="5E190DA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714E" w14:textId="6C77106F" w:rsidR="2F59172B" w:rsidRDefault="2F59172B" w:rsidP="00D5175C">
            <w:r w:rsidRPr="2F59172B">
              <w:rPr>
                <w:rFonts w:ascii="Calibri" w:eastAsia="Calibri" w:hAnsi="Calibri" w:cs="Calibri"/>
                <w:sz w:val="24"/>
                <w:szCs w:val="24"/>
              </w:rPr>
              <w:t>Description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570A9" w14:textId="319F9AE6" w:rsidR="5E190DAD" w:rsidRDefault="5E190DAD" w:rsidP="5E190DAD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rPr>
                <w:rFonts w:eastAsiaTheme="minorEastAsia"/>
              </w:rPr>
            </w:pPr>
            <w:r>
              <w:t xml:space="preserve">We want to hide low level details of the Fabric to users — this could be for many reasons like complexity or security — but still provide the capability to compose systems in an easy way. </w:t>
            </w:r>
          </w:p>
          <w:p w14:paraId="37A3F9F4" w14:textId="77777777" w:rsidR="0010568F" w:rsidRDefault="2F59172B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</w:pPr>
            <w:r w:rsidRPr="2F59172B">
              <w:t>The Redfish specification</w:t>
            </w:r>
            <w:r w:rsidR="00F929C5">
              <w:t xml:space="preserve"> already</w:t>
            </w:r>
            <w:r w:rsidR="00CC1A7B">
              <w:t xml:space="preserve"> supports </w:t>
            </w:r>
            <w:commentRangeStart w:id="3"/>
            <w:r w:rsidR="00CC1A7B">
              <w:t xml:space="preserve">Composability </w:t>
            </w:r>
            <w:commentRangeEnd w:id="3"/>
            <w:r w:rsidR="00F929C5">
              <w:rPr>
                <w:rStyle w:val="CommentReference"/>
              </w:rPr>
              <w:commentReference w:id="3"/>
            </w:r>
            <w:r w:rsidR="0010568F">
              <w:t>.</w:t>
            </w:r>
            <w:r w:rsidR="00235A31">
              <w:t xml:space="preserve"> </w:t>
            </w:r>
          </w:p>
          <w:p w14:paraId="54F528BF" w14:textId="52C2DD43" w:rsidR="2F59172B" w:rsidRDefault="0010568F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</w:pPr>
            <w:r>
              <w:t xml:space="preserve">As part of Redfish Composability, </w:t>
            </w:r>
            <w:proofErr w:type="spellStart"/>
            <w:r w:rsidR="00235A31">
              <w:t>ResourceBlocks</w:t>
            </w:r>
            <w:proofErr w:type="spellEnd"/>
            <w:r w:rsidR="00235A31">
              <w:t xml:space="preserve"> </w:t>
            </w:r>
            <w:r w:rsidR="008B00C8">
              <w:t xml:space="preserve">group resources in an </w:t>
            </w:r>
            <w:r w:rsidR="0026312A">
              <w:t xml:space="preserve">inventory of </w:t>
            </w:r>
            <w:r w:rsidR="008B00C8">
              <w:t xml:space="preserve">composable </w:t>
            </w:r>
            <w:r w:rsidR="0026312A">
              <w:t>components, providing</w:t>
            </w:r>
            <w:r w:rsidR="00235A31">
              <w:t xml:space="preserve"> a layer of abstraction </w:t>
            </w:r>
            <w:r w:rsidR="00235A31">
              <w:lastRenderedPageBreak/>
              <w:t>that clients can leverage to</w:t>
            </w:r>
            <w:r w:rsidR="00CC1A7B">
              <w:t xml:space="preserve"> implement new composition policies and</w:t>
            </w:r>
            <w:r w:rsidR="00235A31">
              <w:t xml:space="preserve"> define new </w:t>
            </w:r>
            <w:proofErr w:type="spellStart"/>
            <w:r w:rsidR="00235A31">
              <w:t>ComputerSystems</w:t>
            </w:r>
            <w:proofErr w:type="spellEnd"/>
            <w:r w:rsidR="00CD269C">
              <w:t>.</w:t>
            </w:r>
          </w:p>
        </w:tc>
      </w:tr>
      <w:tr w:rsidR="2F59172B" w14:paraId="550044FD" w14:textId="77777777" w:rsidTr="5E190DA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92E24" w14:textId="6BE754BC" w:rsidR="2F59172B" w:rsidRDefault="2F59172B" w:rsidP="00D5175C">
            <w:r w:rsidRPr="2F59172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Comments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B0001" w14:textId="3D2136BD" w:rsidR="2F59172B" w:rsidRDefault="2F59172B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rPr>
                <w:rFonts w:eastAsiaTheme="minorEastAsia"/>
                <w:color w:val="FF0000"/>
              </w:rPr>
            </w:pPr>
            <w:r w:rsidRPr="2F59172B">
              <w:rPr>
                <w:color w:val="FF0000"/>
              </w:rPr>
              <w:t xml:space="preserve">NOTE: The following comments are here to guide the group during the discussion on understanding how to create </w:t>
            </w:r>
            <w:proofErr w:type="spellStart"/>
            <w:r w:rsidRPr="2F59172B">
              <w:rPr>
                <w:color w:val="FF0000"/>
              </w:rPr>
              <w:t>ResourceBlocks</w:t>
            </w:r>
            <w:proofErr w:type="spellEnd"/>
            <w:r w:rsidRPr="2F59172B">
              <w:rPr>
                <w:color w:val="FF0000"/>
              </w:rPr>
              <w:t xml:space="preserve"> and identify the actor in charge of this task.</w:t>
            </w:r>
          </w:p>
          <w:p w14:paraId="49529CC7" w14:textId="61A3F00B" w:rsidR="2F59172B" w:rsidRDefault="2F59172B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rPr>
                <w:rFonts w:eastAsiaTheme="minorEastAsia"/>
              </w:rPr>
            </w:pPr>
            <w:r w:rsidRPr="2F59172B">
              <w:t xml:space="preserve">The Redfish Composition Service defines </w:t>
            </w:r>
            <w:r w:rsidR="00702EF8">
              <w:t>a</w:t>
            </w:r>
            <w:r w:rsidRPr="2F59172B">
              <w:t xml:space="preserve"> </w:t>
            </w:r>
            <w:proofErr w:type="spellStart"/>
            <w:r w:rsidRPr="2F59172B">
              <w:t>ResourceBlock</w:t>
            </w:r>
            <w:proofErr w:type="spellEnd"/>
            <w:r w:rsidRPr="2F59172B">
              <w:t xml:space="preserve"> as the smallest element for composition.</w:t>
            </w:r>
          </w:p>
          <w:p w14:paraId="1C790F37" w14:textId="669CA651" w:rsidR="2F59172B" w:rsidRDefault="2F59172B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rPr>
                <w:rFonts w:eastAsiaTheme="minorEastAsia"/>
              </w:rPr>
            </w:pPr>
            <w:r w:rsidRPr="2F59172B">
              <w:t xml:space="preserve">The definition of a </w:t>
            </w:r>
            <w:proofErr w:type="spellStart"/>
            <w:r w:rsidRPr="2F59172B">
              <w:t>ResourceBlock</w:t>
            </w:r>
            <w:proofErr w:type="spellEnd"/>
            <w:r w:rsidRPr="2F59172B">
              <w:t xml:space="preserve"> depends on attributes of the physical resources. Example: CPU and local DRAM could be part of the same resource block. Fabric Attached Memory Chunks could be separated in multiple </w:t>
            </w:r>
            <w:proofErr w:type="spellStart"/>
            <w:r w:rsidRPr="2F59172B">
              <w:t>ResourceBlock</w:t>
            </w:r>
            <w:proofErr w:type="spellEnd"/>
            <w:r w:rsidRPr="2F59172B">
              <w:t>.</w:t>
            </w:r>
          </w:p>
          <w:p w14:paraId="42107647" w14:textId="509D8677" w:rsidR="2F59172B" w:rsidRDefault="2F59172B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rPr>
                <w:rFonts w:eastAsiaTheme="minorEastAsia"/>
              </w:rPr>
            </w:pPr>
            <w:r w:rsidRPr="2F59172B">
              <w:t xml:space="preserve">One of the actors in this use-case must define </w:t>
            </w:r>
            <w:proofErr w:type="spellStart"/>
            <w:r w:rsidRPr="2F59172B">
              <w:t>ResourceBlocks</w:t>
            </w:r>
            <w:proofErr w:type="spellEnd"/>
            <w:r w:rsidRPr="2F59172B">
              <w:t xml:space="preserve"> and </w:t>
            </w:r>
            <w:r w:rsidR="00181824">
              <w:t>L</w:t>
            </w:r>
            <w:r w:rsidRPr="2F59172B">
              <w:t>inks to</w:t>
            </w:r>
            <w:r w:rsidR="00181824">
              <w:t xml:space="preserve"> the</w:t>
            </w:r>
            <w:r w:rsidRPr="2F59172B">
              <w:t xml:space="preserve"> physical resources belonging to the </w:t>
            </w:r>
            <w:r w:rsidR="00181824">
              <w:t>each</w:t>
            </w:r>
            <w:r w:rsidRPr="2F59172B">
              <w:t xml:space="preserve"> </w:t>
            </w:r>
            <w:proofErr w:type="spellStart"/>
            <w:r w:rsidRPr="2F59172B">
              <w:t>ResourceBlock</w:t>
            </w:r>
            <w:proofErr w:type="spellEnd"/>
            <w:r w:rsidRPr="2F59172B">
              <w:t>.</w:t>
            </w:r>
          </w:p>
          <w:p w14:paraId="4B61B094" w14:textId="245EE65F" w:rsidR="2F59172B" w:rsidRDefault="5E190DAD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</w:pPr>
            <w:r w:rsidRPr="5E190DAD">
              <w:rPr>
                <w:u w:val="single"/>
              </w:rPr>
              <w:t>The actor providing this capability is open to discussion</w:t>
            </w:r>
            <w:r>
              <w:t>. Following, two possible approaches:</w:t>
            </w:r>
          </w:p>
          <w:p w14:paraId="3399BFBC" w14:textId="514C46B4" w:rsidR="2F59172B" w:rsidRPr="00A90716" w:rsidRDefault="5E190DAD" w:rsidP="5E190DAD">
            <w:pPr>
              <w:pStyle w:val="ListParagraph"/>
              <w:numPr>
                <w:ilvl w:val="1"/>
                <w:numId w:val="3"/>
              </w:numPr>
              <w:spacing w:line="259" w:lineRule="auto"/>
              <w:jc w:val="both"/>
              <w:rPr>
                <w:rFonts w:eastAsiaTheme="minorEastAsia"/>
              </w:rPr>
            </w:pPr>
            <w:r>
              <w:t xml:space="preserve">The Composability Service could define </w:t>
            </w:r>
            <w:proofErr w:type="spellStart"/>
            <w:r>
              <w:t>ResourceBlocks</w:t>
            </w:r>
            <w:proofErr w:type="spellEnd"/>
            <w:r>
              <w:t xml:space="preserve">. In this case, the service scans the Redfish tree and creates </w:t>
            </w:r>
            <w:proofErr w:type="spellStart"/>
            <w:r>
              <w:t>ResourceBlocks</w:t>
            </w:r>
            <w:proofErr w:type="spellEnd"/>
            <w:r>
              <w:t xml:space="preserve">. For each a Composition Request, the Composability Service can translate the request into changes in the Redfish tree that enable connectivity between resources (example: creates fabric connections and, if necessary, Memory Chunks). To support this approach, the Composability Service needs to know how to group resources belonging to the same </w:t>
            </w:r>
            <w:proofErr w:type="spellStart"/>
            <w:r>
              <w:t>ResourceBlocks</w:t>
            </w:r>
            <w:proofErr w:type="spellEnd"/>
            <w:r>
              <w:t xml:space="preserve"> and connect resources belonging to different </w:t>
            </w:r>
            <w:proofErr w:type="spellStart"/>
            <w:r>
              <w:t>ResourceBlocks</w:t>
            </w:r>
            <w:proofErr w:type="spellEnd"/>
            <w:r>
              <w:t>. These capabilities must be available for each Provider supporting composability.</w:t>
            </w:r>
          </w:p>
          <w:p w14:paraId="6302BEFE" w14:textId="7B9100E9" w:rsidR="2F59172B" w:rsidRDefault="5E190DAD" w:rsidP="5E190DAD">
            <w:pPr>
              <w:pStyle w:val="ListParagraph"/>
              <w:numPr>
                <w:ilvl w:val="1"/>
                <w:numId w:val="3"/>
              </w:numPr>
              <w:spacing w:line="259" w:lineRule="auto"/>
              <w:jc w:val="both"/>
              <w:rPr>
                <w:rFonts w:eastAsiaTheme="minorEastAsia"/>
              </w:rPr>
            </w:pPr>
            <w:r>
              <w:t xml:space="preserve">The Provider could define </w:t>
            </w:r>
            <w:proofErr w:type="spellStart"/>
            <w:r>
              <w:t>ResourceBlocks</w:t>
            </w:r>
            <w:proofErr w:type="spellEnd"/>
            <w:r>
              <w:t xml:space="preserve">. In this case, having knowledge of the underlying hardware resources managed by the Fabric Manager, the Provider defines </w:t>
            </w:r>
            <w:proofErr w:type="spellStart"/>
            <w:r>
              <w:t>ResourceBlocks</w:t>
            </w:r>
            <w:proofErr w:type="spellEnd"/>
            <w:r>
              <w:t xml:space="preserve"> depending on physical or logical constrains. The </w:t>
            </w:r>
            <w:proofErr w:type="spellStart"/>
            <w:r>
              <w:t>ResourceBlocks</w:t>
            </w:r>
            <w:proofErr w:type="spellEnd"/>
            <w:r>
              <w:t xml:space="preserve"> will be exposed to Composability Service and other clients via the OFMF. A Composition Request coming from the Composability Service will be forwarded by the OFMF to the appropriate Provider managing the </w:t>
            </w:r>
            <w:proofErr w:type="spellStart"/>
            <w:r>
              <w:t>ResourceBlocks</w:t>
            </w:r>
            <w:proofErr w:type="spellEnd"/>
            <w:r>
              <w:t xml:space="preserve">. As a note, not all Providers will need to define </w:t>
            </w:r>
            <w:proofErr w:type="spellStart"/>
            <w:r>
              <w:t>ResourceBlocks</w:t>
            </w:r>
            <w:proofErr w:type="spellEnd"/>
            <w:r>
              <w:t>, only the one supporting Redfish Composability.</w:t>
            </w:r>
          </w:p>
        </w:tc>
      </w:tr>
      <w:tr w:rsidR="2F59172B" w14:paraId="4692CA93" w14:textId="77777777" w:rsidTr="5E190DA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EDDD6" w14:textId="4F3A880C" w:rsidR="2F59172B" w:rsidRDefault="2F59172B" w:rsidP="00D5175C">
            <w:r w:rsidRPr="2F59172B">
              <w:rPr>
                <w:rFonts w:ascii="Calibri" w:eastAsia="Calibri" w:hAnsi="Calibri" w:cs="Calibri"/>
                <w:sz w:val="24"/>
                <w:szCs w:val="24"/>
              </w:rPr>
              <w:t>Input Data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8CCE5" w14:textId="7F392764" w:rsidR="2F59172B" w:rsidRDefault="00181824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eastAsiaTheme="minorEastAsia"/>
              </w:rPr>
            </w:pPr>
            <w:r>
              <w:t xml:space="preserve">The </w:t>
            </w:r>
            <w:r w:rsidR="2F59172B" w:rsidRPr="2F59172B">
              <w:t>User provide</w:t>
            </w:r>
            <w:r>
              <w:t>s</w:t>
            </w:r>
            <w:r w:rsidR="2F59172B" w:rsidRPr="2F59172B">
              <w:t xml:space="preserve"> a description of the resources required by the new </w:t>
            </w:r>
            <w:proofErr w:type="spellStart"/>
            <w:r w:rsidR="2F59172B" w:rsidRPr="2F59172B">
              <w:t>ComputerSystem</w:t>
            </w:r>
            <w:proofErr w:type="spellEnd"/>
            <w:r w:rsidR="2F59172B" w:rsidRPr="2F59172B">
              <w:t xml:space="preserve"> </w:t>
            </w:r>
          </w:p>
          <w:p w14:paraId="30567354" w14:textId="243A6A32" w:rsidR="2F59172B" w:rsidRPr="00181824" w:rsidRDefault="2F59172B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color w:val="000000" w:themeColor="text1"/>
              </w:rPr>
            </w:pPr>
            <w:r w:rsidRPr="2F59172B">
              <w:t xml:space="preserve">Example: </w:t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>{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 xml:space="preserve"> "Name": " ComposedSystem1",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 xml:space="preserve"> "Processors": {…},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 xml:space="preserve"> "Memory": {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 xml:space="preserve">   "Members": [{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ab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>"</w:t>
            </w:r>
            <w:hyperlink r:id="rId12">
              <w:r w:rsidRPr="2F59172B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@</w:t>
              </w:r>
              <w:proofErr w:type="spellStart"/>
              <w:r w:rsidRPr="2F59172B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</w:rPr>
                <w:t>Redfish.RequestedCount</w:t>
              </w:r>
              <w:proofErr w:type="spellEnd"/>
            </w:hyperlink>
            <w:r w:rsidRPr="2F59172B">
              <w:rPr>
                <w:rFonts w:ascii="Arial" w:eastAsia="Arial" w:hAnsi="Arial" w:cs="Arial"/>
                <w:sz w:val="20"/>
                <w:szCs w:val="20"/>
              </w:rPr>
              <w:t>": 4,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ab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>"</w:t>
            </w:r>
            <w:proofErr w:type="spellStart"/>
            <w:r w:rsidRPr="2F59172B">
              <w:rPr>
                <w:rFonts w:ascii="Arial" w:eastAsia="Arial" w:hAnsi="Arial" w:cs="Arial"/>
                <w:sz w:val="20"/>
                <w:szCs w:val="20"/>
              </w:rPr>
              <w:t>CapacityMiB</w:t>
            </w:r>
            <w:proofErr w:type="spellEnd"/>
            <w:r w:rsidRPr="2F59172B">
              <w:rPr>
                <w:rFonts w:ascii="Arial" w:eastAsia="Arial" w:hAnsi="Arial" w:cs="Arial"/>
                <w:sz w:val="20"/>
                <w:szCs w:val="20"/>
              </w:rPr>
              <w:t>": 8192,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r>
              <w:tab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>"</w:t>
            </w:r>
            <w:proofErr w:type="spellStart"/>
            <w:r w:rsidRPr="2F59172B">
              <w:rPr>
                <w:rFonts w:ascii="Arial" w:eastAsia="Arial" w:hAnsi="Arial" w:cs="Arial"/>
                <w:sz w:val="20"/>
                <w:szCs w:val="20"/>
              </w:rPr>
              <w:t>MemoryType</w:t>
            </w:r>
            <w:proofErr w:type="spellEnd"/>
            <w:r w:rsidRPr="2F59172B">
              <w:rPr>
                <w:rFonts w:ascii="Arial" w:eastAsia="Arial" w:hAnsi="Arial" w:cs="Arial"/>
                <w:sz w:val="20"/>
                <w:szCs w:val="20"/>
              </w:rPr>
              <w:t>": "DRAM",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ab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>"</w:t>
            </w:r>
            <w:proofErr w:type="spellStart"/>
            <w:r w:rsidRPr="2F59172B">
              <w:rPr>
                <w:rFonts w:ascii="Arial" w:eastAsia="Arial" w:hAnsi="Arial" w:cs="Arial"/>
                <w:sz w:val="20"/>
                <w:szCs w:val="20"/>
              </w:rPr>
              <w:t>MemoryDeviceType</w:t>
            </w:r>
            <w:proofErr w:type="spellEnd"/>
            <w:r w:rsidRPr="2F59172B">
              <w:rPr>
                <w:rFonts w:ascii="Arial" w:eastAsia="Arial" w:hAnsi="Arial" w:cs="Arial"/>
                <w:sz w:val="20"/>
                <w:szCs w:val="20"/>
              </w:rPr>
              <w:t>": "DDR4"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tab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>}]},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 xml:space="preserve"> "</w:t>
            </w:r>
            <w:proofErr w:type="spellStart"/>
            <w:r w:rsidRPr="2F59172B">
              <w:rPr>
                <w:rFonts w:ascii="Arial" w:eastAsia="Arial" w:hAnsi="Arial" w:cs="Arial"/>
                <w:sz w:val="20"/>
                <w:szCs w:val="20"/>
              </w:rPr>
              <w:t>SimpleStorage</w:t>
            </w:r>
            <w:proofErr w:type="spellEnd"/>
            <w:r w:rsidRPr="2F59172B">
              <w:rPr>
                <w:rFonts w:ascii="Arial" w:eastAsia="Arial" w:hAnsi="Arial" w:cs="Arial"/>
                <w:sz w:val="20"/>
                <w:szCs w:val="20"/>
              </w:rPr>
              <w:t>":</w:t>
            </w:r>
            <w:r>
              <w:br/>
            </w:r>
            <w:r w:rsidRPr="2F59172B">
              <w:rPr>
                <w:rFonts w:ascii="Arial" w:eastAsia="Arial" w:hAnsi="Arial" w:cs="Arial"/>
                <w:sz w:val="20"/>
                <w:szCs w:val="20"/>
              </w:rPr>
              <w:t xml:space="preserve"> {…}}</w:t>
            </w:r>
          </w:p>
        </w:tc>
      </w:tr>
      <w:tr w:rsidR="2F59172B" w14:paraId="732E9DA9" w14:textId="77777777" w:rsidTr="5E190DA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40E" w14:textId="1655C49F" w:rsidR="2F59172B" w:rsidRDefault="2F59172B" w:rsidP="00D5175C">
            <w:r w:rsidRPr="2F59172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Preconditions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28D97" w14:textId="038C63D3" w:rsidR="2F59172B" w:rsidRDefault="2F59172B" w:rsidP="00D5175C">
            <w:pPr>
              <w:pStyle w:val="ListParagraph"/>
              <w:numPr>
                <w:ilvl w:val="0"/>
                <w:numId w:val="7"/>
              </w:numPr>
              <w:spacing w:line="259" w:lineRule="auto"/>
              <w:jc w:val="both"/>
              <w:rPr>
                <w:rFonts w:eastAsiaTheme="minorEastAsia"/>
              </w:rPr>
            </w:pPr>
            <w:r w:rsidRPr="2F59172B">
              <w:t xml:space="preserve">Composability Service can explore and inspect </w:t>
            </w:r>
            <w:proofErr w:type="spellStart"/>
            <w:r w:rsidRPr="2F59172B">
              <w:t>ResourceBlocks</w:t>
            </w:r>
            <w:proofErr w:type="spellEnd"/>
          </w:p>
        </w:tc>
      </w:tr>
      <w:tr w:rsidR="2F59172B" w14:paraId="643DB51D" w14:textId="77777777" w:rsidTr="5E190DA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BD1A8" w14:textId="128C67E3" w:rsidR="2F59172B" w:rsidRDefault="2F59172B" w:rsidP="00D5175C">
            <w:r w:rsidRPr="2F59172B">
              <w:rPr>
                <w:rFonts w:ascii="Calibri" w:eastAsia="Calibri" w:hAnsi="Calibri" w:cs="Calibri"/>
                <w:sz w:val="24"/>
                <w:szCs w:val="24"/>
              </w:rPr>
              <w:t>Postconditions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8A750" w14:textId="769E8243" w:rsidR="2F59172B" w:rsidRDefault="2F59172B" w:rsidP="00D517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</w:rPr>
            </w:pPr>
            <w:r w:rsidRPr="2F59172B">
              <w:t>OFMF Redfish tree contains</w:t>
            </w:r>
            <w:r w:rsidR="00015BB9">
              <w:t xml:space="preserve"> the</w:t>
            </w:r>
            <w:r w:rsidRPr="2F59172B">
              <w:t xml:space="preserve"> description of a new </w:t>
            </w:r>
            <w:proofErr w:type="spellStart"/>
            <w:r w:rsidRPr="2F59172B">
              <w:t>ComputerSystem</w:t>
            </w:r>
            <w:proofErr w:type="spellEnd"/>
            <w:r w:rsidRPr="2F59172B">
              <w:t xml:space="preserve"> matching the criteria described in the </w:t>
            </w:r>
            <w:r w:rsidR="00DA0890" w:rsidRPr="2F59172B">
              <w:rPr>
                <w:lang w:val="en-GB"/>
              </w:rPr>
              <w:t>Constrained Composition</w:t>
            </w:r>
            <w:r w:rsidRPr="2F59172B">
              <w:t xml:space="preserve"> request.   </w:t>
            </w:r>
          </w:p>
          <w:p w14:paraId="03DB1AD8" w14:textId="39F828D2" w:rsidR="2F59172B" w:rsidRDefault="2F59172B" w:rsidP="00D517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</w:rPr>
            </w:pPr>
            <w:r w:rsidRPr="2F59172B">
              <w:t>OFMF Redfish tree contains an updated view of the Fabric. This could include new Connections</w:t>
            </w:r>
            <w:r w:rsidR="00DA0890">
              <w:t>.</w:t>
            </w:r>
          </w:p>
          <w:p w14:paraId="5B777F57" w14:textId="77339F9C" w:rsidR="2F59172B" w:rsidRDefault="2F59172B" w:rsidP="00D517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</w:rPr>
            </w:pPr>
            <w:r w:rsidRPr="2F59172B">
              <w:t xml:space="preserve">Actual </w:t>
            </w:r>
            <w:r w:rsidR="00DA0890">
              <w:t>F</w:t>
            </w:r>
            <w:r w:rsidRPr="2F59172B">
              <w:t xml:space="preserve">abric hardware state matches the OFMF Redfish description and desired </w:t>
            </w:r>
            <w:r w:rsidR="00DA0890">
              <w:t>F</w:t>
            </w:r>
            <w:r w:rsidRPr="2F59172B">
              <w:t>abric functionalit</w:t>
            </w:r>
            <w:r w:rsidR="00DA0890">
              <w:t>ies</w:t>
            </w:r>
            <w:r w:rsidRPr="2F59172B">
              <w:t xml:space="preserve"> </w:t>
            </w:r>
            <w:r w:rsidR="00DA0890">
              <w:t>are</w:t>
            </w:r>
            <w:r w:rsidRPr="2F59172B">
              <w:t xml:space="preserve"> enabled</w:t>
            </w:r>
            <w:r w:rsidR="00DA0890">
              <w:t xml:space="preserve"> (resource are accessible as part of the new </w:t>
            </w:r>
            <w:proofErr w:type="spellStart"/>
            <w:r w:rsidR="00DA0890">
              <w:t>ComputerSystem</w:t>
            </w:r>
            <w:proofErr w:type="spellEnd"/>
            <w:r w:rsidR="00DA0890">
              <w:t>)</w:t>
            </w:r>
          </w:p>
        </w:tc>
      </w:tr>
      <w:tr w:rsidR="2F59172B" w14:paraId="633E4460" w14:textId="77777777" w:rsidTr="5E190DA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9C3C8" w14:textId="59E6C1F3" w:rsidR="2F59172B" w:rsidRDefault="2F59172B" w:rsidP="00D5175C">
            <w:r w:rsidRPr="2F59172B">
              <w:rPr>
                <w:rFonts w:ascii="Calibri" w:eastAsia="Calibri" w:hAnsi="Calibri" w:cs="Calibri"/>
                <w:sz w:val="24"/>
                <w:szCs w:val="24"/>
              </w:rPr>
              <w:t>Trigger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B7DA" w14:textId="16D3AF0B" w:rsidR="2F59172B" w:rsidRDefault="2F59172B" w:rsidP="00D517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Theme="minorEastAsia"/>
              </w:rPr>
            </w:pPr>
            <w:proofErr w:type="spellStart"/>
            <w:r w:rsidRPr="2F59172B">
              <w:t>ComposabilityService</w:t>
            </w:r>
            <w:proofErr w:type="spellEnd"/>
            <w:r w:rsidRPr="2F59172B">
              <w:t xml:space="preserve"> receives a </w:t>
            </w:r>
            <w:r w:rsidR="00DA0890" w:rsidRPr="2F59172B">
              <w:rPr>
                <w:lang w:val="en-GB"/>
              </w:rPr>
              <w:t xml:space="preserve">Constrained </w:t>
            </w:r>
            <w:r w:rsidRPr="2F59172B">
              <w:t>Composition Request</w:t>
            </w:r>
          </w:p>
        </w:tc>
      </w:tr>
      <w:tr w:rsidR="2F59172B" w14:paraId="30D910B1" w14:textId="77777777" w:rsidTr="5E190DA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02AEC" w14:textId="7654450E" w:rsidR="2F59172B" w:rsidRDefault="2F59172B" w:rsidP="00D5175C">
            <w:commentRangeStart w:id="4"/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Normal Flow </w:t>
            </w:r>
            <w:commentRangeEnd w:id="4"/>
            <w:r w:rsidR="004D4A5A">
              <w:rPr>
                <w:rStyle w:val="CommentReference"/>
              </w:rPr>
              <w:commentReference w:id="4"/>
            </w:r>
          </w:p>
          <w:p w14:paraId="5E46A97D" w14:textId="42901CA5" w:rsidR="2F59172B" w:rsidRDefault="2F59172B" w:rsidP="00D5175C"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9EBAAF" w14:textId="2EDF91A9" w:rsidR="0050412C" w:rsidRPr="0050412C" w:rsidRDefault="5E190DAD" w:rsidP="00D5175C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Note: For simplicity, flows are described as synchronous operations. Implementation details are beyond the scope of this first draft. Always for simplicity, in both figures I am omitting updates to Redfish trees.</w:t>
            </w:r>
          </w:p>
          <w:p w14:paraId="1760A900" w14:textId="77777777" w:rsidR="0050412C" w:rsidRPr="0050412C" w:rsidRDefault="0050412C" w:rsidP="00D51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EEA01A" w14:textId="528AB716" w:rsidR="2F59172B" w:rsidRPr="00DA0890" w:rsidRDefault="2F59172B" w:rsidP="00D5175C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08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Option 1: Composability Service defines the </w:t>
            </w:r>
            <w:proofErr w:type="spellStart"/>
            <w:r w:rsidRPr="00DA08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ResourceBlocks</w:t>
            </w:r>
            <w:proofErr w:type="spellEnd"/>
            <w:r w:rsidR="004858F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fldChar w:fldCharType="begin"/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instrText xml:space="preserve"> REF _Ref106805116 \h </w:instrText>
            </w:r>
            <w:r w:rsidR="004858F2">
              <w:rPr>
                <w:rFonts w:ascii="Calibri" w:eastAsia="Calibri" w:hAnsi="Calibri" w:cs="Calibri"/>
                <w:sz w:val="24"/>
                <w:szCs w:val="24"/>
              </w:rPr>
              <w:instrText xml:space="preserve"> \* MERGEFORMAT </w:instrText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4858F2" w:rsidRPr="004858F2">
              <w:t xml:space="preserve">Figure </w:t>
            </w:r>
            <w:r w:rsidR="004858F2" w:rsidRPr="004858F2">
              <w:rPr>
                <w:noProof/>
              </w:rPr>
              <w:t>1</w:t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6C5CE345" w14:textId="3C9B8356" w:rsidR="2F59172B" w:rsidRDefault="5E190DAD" w:rsidP="5E190DAD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The Composability Service inspects the locally defined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ResourceBlocks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(created by scanning the Fabric) </w:t>
            </w:r>
          </w:p>
          <w:p w14:paraId="3C8768EF" w14:textId="04FC7899" w:rsidR="2F59172B" w:rsidRDefault="5E190DAD" w:rsidP="00D5175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sz w:val="24"/>
                <w:szCs w:val="24"/>
              </w:rPr>
              <w:t>It s</w:t>
            </w:r>
            <w:commentRangeStart w:id="5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elects the subset that fulfills the request for a new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ComputerSystem</w:t>
            </w:r>
            <w:commentRangeEnd w:id="5"/>
            <w:proofErr w:type="spellEnd"/>
            <w:r w:rsidR="00E75945">
              <w:rPr>
                <w:rStyle w:val="CommentReference"/>
              </w:rPr>
              <w:commentReference w:id="5"/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>. In the example, these are called 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A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and 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B</w:t>
            </w:r>
          </w:p>
          <w:p w14:paraId="674E45D6" w14:textId="72829CB1" w:rsidR="2F59172B" w:rsidRPr="0008732A" w:rsidRDefault="2F59172B" w:rsidP="00D5175C">
            <w:pPr>
              <w:pStyle w:val="ListParagraph"/>
              <w:numPr>
                <w:ilvl w:val="1"/>
                <w:numId w:val="2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The policy </w:t>
            </w:r>
            <w:r w:rsidR="0008732A">
              <w:rPr>
                <w:rFonts w:ascii="Calibri" w:eastAsia="Calibri" w:hAnsi="Calibri" w:cs="Calibri"/>
                <w:sz w:val="24"/>
                <w:szCs w:val="24"/>
              </w:rPr>
              <w:t>for composability</w:t>
            </w:r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is beyond</w:t>
            </w:r>
            <w:r w:rsidR="0008732A">
              <w:rPr>
                <w:rFonts w:ascii="Calibri" w:eastAsia="Calibri" w:hAnsi="Calibri" w:cs="Calibri"/>
                <w:sz w:val="24"/>
                <w:szCs w:val="24"/>
              </w:rPr>
              <w:t xml:space="preserve"> the scope of this use-case</w:t>
            </w:r>
            <w:r>
              <w:br/>
            </w:r>
            <w:r w:rsidRPr="2F59172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Note:</w:t>
            </w:r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2F59172B">
              <w:rPr>
                <w:rFonts w:ascii="Calibri" w:eastAsia="Calibri" w:hAnsi="Calibri" w:cs="Calibri"/>
                <w:sz w:val="24"/>
                <w:szCs w:val="24"/>
              </w:rPr>
              <w:t>ResourceBlocks</w:t>
            </w:r>
            <w:proofErr w:type="spellEnd"/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must contain enough resource metadata to implement </w:t>
            </w:r>
            <w:r w:rsidR="0008732A">
              <w:rPr>
                <w:rFonts w:ascii="Calibri" w:eastAsia="Calibri" w:hAnsi="Calibri" w:cs="Calibri"/>
                <w:sz w:val="24"/>
                <w:szCs w:val="24"/>
              </w:rPr>
              <w:t>the desired</w:t>
            </w:r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policy (latency, bandwidth, etc...)</w:t>
            </w:r>
          </w:p>
          <w:p w14:paraId="17C219DB" w14:textId="0ED8A599" w:rsidR="0008732A" w:rsidRDefault="5E190DAD" w:rsidP="5E190DAD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sz w:val="24"/>
                <w:szCs w:val="24"/>
              </w:rPr>
              <w:t>It r</w:t>
            </w:r>
            <w:commentRangeStart w:id="6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eserves the resources belonging to the selected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ResourceBlocks</w:t>
            </w:r>
            <w:commentRangeEnd w:id="6"/>
            <w:proofErr w:type="spellEnd"/>
            <w:r w:rsidR="00E75945">
              <w:rPr>
                <w:rStyle w:val="CommentReference"/>
              </w:rPr>
              <w:commentReference w:id="6"/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A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and 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B</w:t>
            </w:r>
          </w:p>
          <w:p w14:paraId="1822509C" w14:textId="47B23788" w:rsidR="2F59172B" w:rsidRDefault="5E190DAD" w:rsidP="00D5175C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It sends multiple POSTs/PATCHs to the OFMF to connect all resources in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ResourceBlocks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A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and 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B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>. Each resource will require one or more requests for a change to the OFMF.</w:t>
            </w:r>
          </w:p>
          <w:p w14:paraId="478C8FD6" w14:textId="12708C9F" w:rsidR="2F59172B" w:rsidRDefault="5E190DAD" w:rsidP="00D5175C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sz w:val="24"/>
                <w:szCs w:val="24"/>
              </w:rPr>
              <w:t>The OFMF forwards each request to the Provider in charge of the Fabric attached resources.</w:t>
            </w:r>
          </w:p>
          <w:p w14:paraId="4595DF40" w14:textId="31C30AB5" w:rsidR="2F59172B" w:rsidRDefault="2F59172B" w:rsidP="00D5175C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2F59172B">
              <w:rPr>
                <w:rFonts w:ascii="Calibri" w:eastAsia="Calibri" w:hAnsi="Calibri" w:cs="Calibri"/>
                <w:sz w:val="24"/>
                <w:szCs w:val="24"/>
              </w:rPr>
              <w:t>The Provider translates each request in action</w:t>
            </w:r>
            <w:r w:rsidR="009D1BE3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to be carried out by the Fabric Manager.</w:t>
            </w:r>
          </w:p>
          <w:p w14:paraId="42479C4B" w14:textId="66B17C48" w:rsidR="2F59172B" w:rsidRDefault="2F59172B" w:rsidP="00D5175C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Once all resources are configured and ready, </w:t>
            </w:r>
            <w:r w:rsidR="00E75945">
              <w:rPr>
                <w:rFonts w:ascii="Calibri" w:eastAsia="Calibri" w:hAnsi="Calibri" w:cs="Calibri"/>
                <w:sz w:val="24"/>
                <w:szCs w:val="24"/>
              </w:rPr>
              <w:t>the Composability Service</w:t>
            </w:r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creates a new </w:t>
            </w:r>
            <w:proofErr w:type="spellStart"/>
            <w:r w:rsidRPr="2F59172B">
              <w:rPr>
                <w:rFonts w:ascii="Calibri" w:eastAsia="Calibri" w:hAnsi="Calibri" w:cs="Calibri"/>
                <w:sz w:val="24"/>
                <w:szCs w:val="24"/>
              </w:rPr>
              <w:t>ComputerSystem</w:t>
            </w:r>
            <w:proofErr w:type="spellEnd"/>
            <w:r w:rsidRPr="2F59172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960C008" w14:textId="77FAD140" w:rsidR="2F59172B" w:rsidRDefault="00E75945" w:rsidP="00D5175C">
            <w:pPr>
              <w:pStyle w:val="ListParagraph"/>
              <w:numPr>
                <w:ilvl w:val="0"/>
                <w:numId w:val="2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Finally, t</w:t>
            </w:r>
            <w:r w:rsidR="2F59172B"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he </w:t>
            </w:r>
            <w:proofErr w:type="spellStart"/>
            <w:r w:rsidR="2F59172B" w:rsidRPr="2F59172B">
              <w:rPr>
                <w:rFonts w:ascii="Calibri" w:eastAsia="Calibri" w:hAnsi="Calibri" w:cs="Calibri"/>
                <w:sz w:val="24"/>
                <w:szCs w:val="24"/>
              </w:rPr>
              <w:t>ComposabilityService</w:t>
            </w:r>
            <w:proofErr w:type="spellEnd"/>
            <w:r w:rsidR="2F59172B"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D4A5A">
              <w:rPr>
                <w:rFonts w:ascii="Calibri" w:eastAsia="Calibri" w:hAnsi="Calibri" w:cs="Calibri"/>
                <w:sz w:val="24"/>
                <w:szCs w:val="24"/>
              </w:rPr>
              <w:t xml:space="preserve">returns the </w:t>
            </w:r>
            <w:r w:rsidR="2F59172B"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new </w:t>
            </w:r>
            <w:proofErr w:type="spellStart"/>
            <w:r w:rsidR="2F59172B" w:rsidRPr="2F59172B">
              <w:rPr>
                <w:rFonts w:ascii="Calibri" w:eastAsia="Calibri" w:hAnsi="Calibri" w:cs="Calibri"/>
                <w:sz w:val="24"/>
                <w:szCs w:val="24"/>
              </w:rPr>
              <w:t>ComputerSystem</w:t>
            </w:r>
            <w:proofErr w:type="spellEnd"/>
            <w:r w:rsidR="2F59172B"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D4A5A">
              <w:rPr>
                <w:rFonts w:ascii="Calibri" w:eastAsia="Calibri" w:hAnsi="Calibri" w:cs="Calibri"/>
                <w:sz w:val="24"/>
                <w:szCs w:val="24"/>
              </w:rPr>
              <w:t>description</w:t>
            </w:r>
            <w:r w:rsidR="2F59172B"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D4A5A">
              <w:rPr>
                <w:rFonts w:ascii="Calibri" w:eastAsia="Calibri" w:hAnsi="Calibri" w:cs="Calibri"/>
                <w:sz w:val="24"/>
                <w:szCs w:val="24"/>
              </w:rPr>
              <w:t>to the user</w:t>
            </w:r>
            <w:r w:rsidR="2F59172B" w:rsidRPr="2F59172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D6BC15B" w14:textId="2D922820" w:rsidR="2F59172B" w:rsidRDefault="2F59172B" w:rsidP="00D51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FFF327" w14:textId="77777777" w:rsidR="00157DBA" w:rsidRDefault="00157DBA" w:rsidP="00D5175C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0DA7A75" w14:textId="22349334" w:rsidR="2F59172B" w:rsidRPr="00DA0890" w:rsidRDefault="2F59172B" w:rsidP="00D5175C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A08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Option 2: Provider defines the </w:t>
            </w:r>
            <w:proofErr w:type="spellStart"/>
            <w:r w:rsidRPr="00DA089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ResourceBlocks</w:t>
            </w:r>
            <w:proofErr w:type="spellEnd"/>
            <w:r w:rsidR="004858F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fldChar w:fldCharType="begin"/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instrText xml:space="preserve"> REF _Ref106805144 \h </w:instrText>
            </w:r>
            <w:r w:rsidR="004858F2">
              <w:rPr>
                <w:rFonts w:ascii="Calibri" w:eastAsia="Calibri" w:hAnsi="Calibri" w:cs="Calibri"/>
                <w:sz w:val="24"/>
                <w:szCs w:val="24"/>
              </w:rPr>
              <w:instrText xml:space="preserve"> \* MERGEFORMAT </w:instrText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4858F2" w:rsidRPr="004858F2">
              <w:t xml:space="preserve">Figure </w:t>
            </w:r>
            <w:r w:rsidR="004858F2" w:rsidRPr="004858F2">
              <w:rPr>
                <w:noProof/>
              </w:rPr>
              <w:t>2</w:t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="004858F2" w:rsidRPr="004858F2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6EB964EE" w14:textId="6458D1F2" w:rsidR="2F59172B" w:rsidRDefault="2F59172B" w:rsidP="00D5175C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Composability Service inspects the </w:t>
            </w:r>
            <w:proofErr w:type="spellStart"/>
            <w:r w:rsidRPr="2F59172B">
              <w:rPr>
                <w:rFonts w:ascii="Calibri" w:eastAsia="Calibri" w:hAnsi="Calibri" w:cs="Calibri"/>
                <w:sz w:val="24"/>
                <w:szCs w:val="24"/>
              </w:rPr>
              <w:t>ResourceBlocks</w:t>
            </w:r>
            <w:proofErr w:type="spellEnd"/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 querying the OFMF.</w:t>
            </w:r>
          </w:p>
          <w:p w14:paraId="665CD269" w14:textId="24168F2D" w:rsidR="2F59172B" w:rsidRDefault="5E190DAD" w:rsidP="5E190DAD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It selects the subset of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ResourceBlocks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that fulfills the request for a new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ComputerSystem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(RB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A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proofErr w:type="gram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B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 similar</w:t>
            </w:r>
            <w:proofErr w:type="gram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to Option 1)</w:t>
            </w:r>
          </w:p>
          <w:p w14:paraId="48097E7F" w14:textId="0BA663DD" w:rsidR="2F59172B" w:rsidRPr="00E75945" w:rsidRDefault="5E190DAD" w:rsidP="00D5175C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It creates a single Specific Composition request listing the selected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ResourceBlocks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A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and 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B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to be composed and sends it to the OFMF.</w:t>
            </w:r>
          </w:p>
          <w:p w14:paraId="5101EC99" w14:textId="4AE59094" w:rsidR="2F59172B" w:rsidRPr="00B539E2" w:rsidRDefault="2F59172B" w:rsidP="00D5175C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2F59172B">
              <w:rPr>
                <w:rFonts w:ascii="Calibri" w:eastAsia="Calibri" w:hAnsi="Calibri" w:cs="Calibri"/>
                <w:sz w:val="24"/>
                <w:szCs w:val="24"/>
              </w:rPr>
              <w:t xml:space="preserve">The OFMF forwards the request to the Provider in charge of the </w:t>
            </w:r>
            <w:proofErr w:type="spellStart"/>
            <w:r w:rsidRPr="2F59172B">
              <w:rPr>
                <w:rFonts w:ascii="Calibri" w:eastAsia="Calibri" w:hAnsi="Calibri" w:cs="Calibri"/>
                <w:sz w:val="24"/>
                <w:szCs w:val="24"/>
              </w:rPr>
              <w:t>ResourceBlocks</w:t>
            </w:r>
            <w:proofErr w:type="spellEnd"/>
          </w:p>
          <w:p w14:paraId="32FC945B" w14:textId="7AD4E921" w:rsidR="00B539E2" w:rsidRDefault="00B539E2" w:rsidP="00D5175C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Provider validates that the request is valid and reserves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ResourceBlocks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RB</w:t>
            </w:r>
            <w:r w:rsidRPr="004858F2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RB</w:t>
            </w:r>
            <w:r w:rsidRPr="004858F2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78272126" w14:textId="1479A9EC" w:rsidR="2F59172B" w:rsidRDefault="5E190DAD" w:rsidP="5E190DAD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sz w:val="24"/>
                <w:szCs w:val="24"/>
              </w:rPr>
              <w:t>The Provider translates the request in a set of actions to connect the resources belonging to 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A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and RB</w:t>
            </w:r>
            <w:r w:rsidRPr="5E190DAD">
              <w:rPr>
                <w:rFonts w:ascii="Calibri" w:eastAsia="Calibri" w:hAnsi="Calibri" w:cs="Calibri"/>
                <w:sz w:val="24"/>
                <w:szCs w:val="24"/>
                <w:vertAlign w:val="subscript"/>
              </w:rPr>
              <w:t>B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via the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FabricManager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. Once every resource is setup and ready, the Provider returns the description of the new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ComputerSystem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and the current state of the Fabric.</w:t>
            </w:r>
          </w:p>
          <w:p w14:paraId="28F440DB" w14:textId="341994B1" w:rsidR="2F59172B" w:rsidRDefault="5E190DAD" w:rsidP="5E190DAD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The OFMF registers the new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ComputerSystem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and returns the new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ComputerSystem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state to the </w:t>
            </w:r>
            <w:proofErr w:type="spellStart"/>
            <w:r w:rsidR="00A6080F" w:rsidRPr="5E190DAD">
              <w:rPr>
                <w:rFonts w:ascii="Calibri" w:eastAsia="Calibri" w:hAnsi="Calibri" w:cs="Calibri"/>
                <w:sz w:val="24"/>
                <w:szCs w:val="24"/>
              </w:rPr>
              <w:t>ComposabilityService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085282D" w14:textId="721F4A49" w:rsidR="2F59172B" w:rsidRDefault="5E190DAD" w:rsidP="00D5175C">
            <w:pPr>
              <w:pStyle w:val="ListParagraph"/>
              <w:numPr>
                <w:ilvl w:val="0"/>
                <w:numId w:val="1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ComposabilityService</w:t>
            </w:r>
            <w:proofErr w:type="spellEnd"/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080F">
              <w:rPr>
                <w:rFonts w:ascii="Calibri" w:eastAsia="Calibri" w:hAnsi="Calibri" w:cs="Calibri"/>
                <w:sz w:val="24"/>
                <w:szCs w:val="24"/>
              </w:rPr>
              <w:t>forwards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the new </w:t>
            </w:r>
            <w:proofErr w:type="spellStart"/>
            <w:r w:rsidRPr="5E190DAD">
              <w:rPr>
                <w:rFonts w:ascii="Calibri" w:eastAsia="Calibri" w:hAnsi="Calibri" w:cs="Calibri"/>
                <w:sz w:val="24"/>
                <w:szCs w:val="24"/>
              </w:rPr>
              <w:t>ComputerSystem</w:t>
            </w:r>
            <w:proofErr w:type="spellEnd"/>
            <w:r w:rsidR="00A6080F">
              <w:rPr>
                <w:rFonts w:ascii="Calibri" w:eastAsia="Calibri" w:hAnsi="Calibri" w:cs="Calibri"/>
                <w:sz w:val="24"/>
                <w:szCs w:val="24"/>
              </w:rPr>
              <w:t xml:space="preserve"> definition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6080F">
              <w:rPr>
                <w:rFonts w:ascii="Calibri" w:eastAsia="Calibri" w:hAnsi="Calibri" w:cs="Calibri"/>
                <w:sz w:val="24"/>
                <w:szCs w:val="24"/>
              </w:rPr>
              <w:t>to the user</w:t>
            </w:r>
            <w:r w:rsidRPr="5E190DAD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6DB2537" w14:textId="35402D0A" w:rsidR="2F59172B" w:rsidRDefault="2F59172B" w:rsidP="00D51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F59172B" w14:paraId="183418F0" w14:textId="77777777" w:rsidTr="5E190DAD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4AE44" w14:textId="2C9399DF" w:rsidR="2F59172B" w:rsidRDefault="2F59172B" w:rsidP="00D51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165E0" w14:textId="43E65590" w:rsidR="2F59172B" w:rsidRDefault="2F59172B" w:rsidP="00D5175C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7672559" w14:textId="5F420A5B" w:rsidR="2F59172B" w:rsidRDefault="2F59172B" w:rsidP="00D5175C">
      <w:pPr>
        <w:jc w:val="both"/>
      </w:pPr>
    </w:p>
    <w:sectPr w:rsidR="2F59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ICHELE GAZZETTI" w:date="2022-06-20T10:00:00Z" w:initials="MG">
    <w:p w14:paraId="0120A67D" w14:textId="77777777" w:rsidR="00702EF8" w:rsidRDefault="00702EF8" w:rsidP="00D737AA">
      <w:r>
        <w:rPr>
          <w:sz w:val="20"/>
          <w:szCs w:val="20"/>
        </w:rPr>
        <w:t>For more details on the Specific Composition request look at Redfish Specification</w:t>
      </w:r>
    </w:p>
  </w:comment>
  <w:comment w:id="3" w:author="Michele Gazzetti1" w:date="2022-06-22T14:40:00Z" w:initials="MG">
    <w:p w14:paraId="79813806" w14:textId="77777777" w:rsidR="00F929C5" w:rsidRDefault="00F929C5" w:rsidP="00361D60">
      <w:r>
        <w:rPr>
          <w:rStyle w:val="CommentReference"/>
        </w:rPr>
        <w:annotationRef/>
      </w:r>
      <w:r>
        <w:rPr>
          <w:sz w:val="20"/>
          <w:szCs w:val="20"/>
        </w:rPr>
        <w:t>Chapter 15 in the Redfish specification. (</w:t>
      </w:r>
      <w:hyperlink r:id="rId1" w:history="1">
        <w:r w:rsidRPr="00361D60">
          <w:rPr>
            <w:rStyle w:val="Hyperlink"/>
            <w:sz w:val="20"/>
            <w:szCs w:val="20"/>
          </w:rPr>
          <w:t>https://www.dmtf.org/sites/default/files/standards/documents/DSP0266_1.15.1.pdf</w:t>
        </w:r>
      </w:hyperlink>
      <w:r>
        <w:rPr>
          <w:sz w:val="20"/>
          <w:szCs w:val="20"/>
        </w:rPr>
        <w:t>)</w:t>
      </w:r>
    </w:p>
  </w:comment>
  <w:comment w:id="4" w:author="Michele Gazzetti1" w:date="2022-06-22T15:52:00Z" w:initials="MG">
    <w:p w14:paraId="11E360C3" w14:textId="77777777" w:rsidR="004D4A5A" w:rsidRDefault="004D4A5A" w:rsidP="00FE0013">
      <w:r>
        <w:rPr>
          <w:rStyle w:val="CommentReference"/>
        </w:rPr>
        <w:annotationRef/>
      </w:r>
      <w:r>
        <w:rPr>
          <w:sz w:val="20"/>
          <w:szCs w:val="20"/>
        </w:rPr>
        <w:t>For simplicity, these flows are described as synchronous operations. Implementation details are beyond the scope of this first draft.</w:t>
      </w:r>
    </w:p>
  </w:comment>
  <w:comment w:id="5" w:author="Michele Gazzetti1" w:date="2022-06-22T15:36:00Z" w:initials="MG">
    <w:p w14:paraId="6BE8602F" w14:textId="5B03DF7F" w:rsidR="006C6E08" w:rsidRDefault="006C6E08" w:rsidP="0035635A">
      <w:r>
        <w:rPr>
          <w:rStyle w:val="CommentReference"/>
        </w:rPr>
        <w:annotationRef/>
      </w:r>
      <w:r>
        <w:rPr>
          <w:sz w:val="20"/>
          <w:szCs w:val="20"/>
        </w:rPr>
        <w:t>Zones can be used to define restrictions to compositions</w:t>
      </w:r>
    </w:p>
  </w:comment>
  <w:comment w:id="6" w:author="Michele Gazzetti1" w:date="2022-06-22T15:51:00Z" w:initials="MG">
    <w:p w14:paraId="188D1E7F" w14:textId="77777777" w:rsidR="009D1BE3" w:rsidRDefault="009D1BE3" w:rsidP="00172729">
      <w:r>
        <w:rPr>
          <w:rStyle w:val="CommentReference"/>
        </w:rPr>
        <w:annotationRef/>
      </w:r>
      <w:r>
        <w:rPr>
          <w:sz w:val="20"/>
          <w:szCs w:val="20"/>
        </w:rPr>
        <w:t>Do we need to highlight that these resources are reserved in the OFMF tree? What about other clients attempting to use the same resources?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20A67D" w15:done="0"/>
  <w15:commentEx w15:paraId="79813806" w15:done="0"/>
  <w15:commentEx w15:paraId="11E360C3" w15:done="0"/>
  <w15:commentEx w15:paraId="6BE8602F" w15:done="0"/>
  <w15:commentEx w15:paraId="188D1E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111B1A9" w16cex:dateUtc="2022-06-20T09:00:00Z"/>
  <w16cex:commentExtensible w16cex:durableId="265DA876" w16cex:dateUtc="2022-06-22T13:40:00Z"/>
  <w16cex:commentExtensible w16cex:durableId="265DB959" w16cex:dateUtc="2022-06-22T14:52:00Z"/>
  <w16cex:commentExtensible w16cex:durableId="265DB564" w16cex:dateUtc="2022-06-22T14:36:00Z"/>
  <w16cex:commentExtensible w16cex:durableId="265DB8FF" w16cex:dateUtc="2022-06-22T1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20A67D" w16cid:durableId="6111B1A9"/>
  <w16cid:commentId w16cid:paraId="79813806" w16cid:durableId="265DA876"/>
  <w16cid:commentId w16cid:paraId="11E360C3" w16cid:durableId="265DB959"/>
  <w16cid:commentId w16cid:paraId="6BE8602F" w16cid:durableId="265DB564"/>
  <w16cid:commentId w16cid:paraId="188D1E7F" w16cid:durableId="265DB8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20B0604020202020204"/>
    <w:charset w:val="00"/>
    <w:family w:val="roman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711"/>
    <w:multiLevelType w:val="hybridMultilevel"/>
    <w:tmpl w:val="1990F658"/>
    <w:lvl w:ilvl="0" w:tplc="2A4E50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E0BF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AE4DE8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526A111E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22B02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48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A8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C8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2E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44A54"/>
    <w:multiLevelType w:val="hybridMultilevel"/>
    <w:tmpl w:val="600876C0"/>
    <w:lvl w:ilvl="0" w:tplc="3C6C79AA">
      <w:start w:val="1"/>
      <w:numFmt w:val="decimal"/>
      <w:lvlText w:val="%1."/>
      <w:lvlJc w:val="left"/>
      <w:pPr>
        <w:ind w:left="720" w:hanging="360"/>
      </w:pPr>
    </w:lvl>
    <w:lvl w:ilvl="1" w:tplc="EFDECD28">
      <w:start w:val="1"/>
      <w:numFmt w:val="lowerLetter"/>
      <w:lvlText w:val="%2."/>
      <w:lvlJc w:val="left"/>
      <w:pPr>
        <w:ind w:left="1440" w:hanging="360"/>
      </w:pPr>
    </w:lvl>
    <w:lvl w:ilvl="2" w:tplc="014E8C42">
      <w:start w:val="1"/>
      <w:numFmt w:val="lowerRoman"/>
      <w:lvlText w:val="%3."/>
      <w:lvlJc w:val="right"/>
      <w:pPr>
        <w:ind w:left="2160" w:hanging="180"/>
      </w:pPr>
    </w:lvl>
    <w:lvl w:ilvl="3" w:tplc="3496E764">
      <w:start w:val="1"/>
      <w:numFmt w:val="decimal"/>
      <w:lvlText w:val="%4."/>
      <w:lvlJc w:val="left"/>
      <w:pPr>
        <w:ind w:left="2880" w:hanging="360"/>
      </w:pPr>
    </w:lvl>
    <w:lvl w:ilvl="4" w:tplc="7250F1EC">
      <w:start w:val="1"/>
      <w:numFmt w:val="lowerLetter"/>
      <w:lvlText w:val="%5."/>
      <w:lvlJc w:val="left"/>
      <w:pPr>
        <w:ind w:left="3600" w:hanging="360"/>
      </w:pPr>
    </w:lvl>
    <w:lvl w:ilvl="5" w:tplc="B20614CE">
      <w:start w:val="1"/>
      <w:numFmt w:val="lowerRoman"/>
      <w:lvlText w:val="%6."/>
      <w:lvlJc w:val="right"/>
      <w:pPr>
        <w:ind w:left="4320" w:hanging="180"/>
      </w:pPr>
    </w:lvl>
    <w:lvl w:ilvl="6" w:tplc="850CAB0A">
      <w:start w:val="1"/>
      <w:numFmt w:val="decimal"/>
      <w:lvlText w:val="%7."/>
      <w:lvlJc w:val="left"/>
      <w:pPr>
        <w:ind w:left="5040" w:hanging="360"/>
      </w:pPr>
    </w:lvl>
    <w:lvl w:ilvl="7" w:tplc="11F8932A">
      <w:start w:val="1"/>
      <w:numFmt w:val="lowerLetter"/>
      <w:lvlText w:val="%8."/>
      <w:lvlJc w:val="left"/>
      <w:pPr>
        <w:ind w:left="5760" w:hanging="360"/>
      </w:pPr>
    </w:lvl>
    <w:lvl w:ilvl="8" w:tplc="35401F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62765"/>
    <w:multiLevelType w:val="hybridMultilevel"/>
    <w:tmpl w:val="2354D86A"/>
    <w:lvl w:ilvl="0" w:tplc="F496D3FC">
      <w:start w:val="1"/>
      <w:numFmt w:val="decimal"/>
      <w:lvlText w:val="%1."/>
      <w:lvlJc w:val="left"/>
      <w:pPr>
        <w:ind w:left="720" w:hanging="360"/>
      </w:pPr>
    </w:lvl>
    <w:lvl w:ilvl="1" w:tplc="F1F62336">
      <w:start w:val="1"/>
      <w:numFmt w:val="lowerLetter"/>
      <w:lvlText w:val="%2."/>
      <w:lvlJc w:val="left"/>
      <w:pPr>
        <w:ind w:left="1440" w:hanging="360"/>
      </w:pPr>
    </w:lvl>
    <w:lvl w:ilvl="2" w:tplc="52641FAE">
      <w:start w:val="1"/>
      <w:numFmt w:val="lowerRoman"/>
      <w:lvlText w:val="%3."/>
      <w:lvlJc w:val="right"/>
      <w:pPr>
        <w:ind w:left="2160" w:hanging="180"/>
      </w:pPr>
    </w:lvl>
    <w:lvl w:ilvl="3" w:tplc="D710F94C">
      <w:start w:val="1"/>
      <w:numFmt w:val="decimal"/>
      <w:lvlText w:val="%4."/>
      <w:lvlJc w:val="left"/>
      <w:pPr>
        <w:ind w:left="2880" w:hanging="360"/>
      </w:pPr>
    </w:lvl>
    <w:lvl w:ilvl="4" w:tplc="8556938C">
      <w:start w:val="1"/>
      <w:numFmt w:val="lowerLetter"/>
      <w:lvlText w:val="%5."/>
      <w:lvlJc w:val="left"/>
      <w:pPr>
        <w:ind w:left="3600" w:hanging="360"/>
      </w:pPr>
    </w:lvl>
    <w:lvl w:ilvl="5" w:tplc="CB9CCCCE">
      <w:start w:val="1"/>
      <w:numFmt w:val="lowerRoman"/>
      <w:lvlText w:val="%6."/>
      <w:lvlJc w:val="right"/>
      <w:pPr>
        <w:ind w:left="4320" w:hanging="180"/>
      </w:pPr>
    </w:lvl>
    <w:lvl w:ilvl="6" w:tplc="7E0AE458">
      <w:start w:val="1"/>
      <w:numFmt w:val="decimal"/>
      <w:lvlText w:val="%7."/>
      <w:lvlJc w:val="left"/>
      <w:pPr>
        <w:ind w:left="5040" w:hanging="360"/>
      </w:pPr>
    </w:lvl>
    <w:lvl w:ilvl="7" w:tplc="C324BB36">
      <w:start w:val="1"/>
      <w:numFmt w:val="lowerLetter"/>
      <w:lvlText w:val="%8."/>
      <w:lvlJc w:val="left"/>
      <w:pPr>
        <w:ind w:left="5760" w:hanging="360"/>
      </w:pPr>
    </w:lvl>
    <w:lvl w:ilvl="8" w:tplc="B060F4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5D32"/>
    <w:multiLevelType w:val="hybridMultilevel"/>
    <w:tmpl w:val="26E21652"/>
    <w:lvl w:ilvl="0" w:tplc="C69250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22D88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C66C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A8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2D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8E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4B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8E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45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3236"/>
    <w:multiLevelType w:val="hybridMultilevel"/>
    <w:tmpl w:val="222AFA2A"/>
    <w:lvl w:ilvl="0" w:tplc="BDF63862">
      <w:start w:val="1"/>
      <w:numFmt w:val="decimal"/>
      <w:lvlText w:val="%1."/>
      <w:lvlJc w:val="left"/>
      <w:pPr>
        <w:ind w:left="720" w:hanging="360"/>
      </w:pPr>
    </w:lvl>
    <w:lvl w:ilvl="1" w:tplc="507C0F36">
      <w:start w:val="1"/>
      <w:numFmt w:val="lowerLetter"/>
      <w:lvlText w:val="%2."/>
      <w:lvlJc w:val="left"/>
      <w:pPr>
        <w:ind w:left="1440" w:hanging="360"/>
      </w:pPr>
    </w:lvl>
    <w:lvl w:ilvl="2" w:tplc="D5BADECE">
      <w:start w:val="1"/>
      <w:numFmt w:val="lowerRoman"/>
      <w:lvlText w:val="%3."/>
      <w:lvlJc w:val="right"/>
      <w:pPr>
        <w:ind w:left="2160" w:hanging="180"/>
      </w:pPr>
    </w:lvl>
    <w:lvl w:ilvl="3" w:tplc="035AD890">
      <w:start w:val="1"/>
      <w:numFmt w:val="decimal"/>
      <w:lvlText w:val="%4."/>
      <w:lvlJc w:val="left"/>
      <w:pPr>
        <w:ind w:left="2880" w:hanging="360"/>
      </w:pPr>
    </w:lvl>
    <w:lvl w:ilvl="4" w:tplc="B7D01D2A">
      <w:start w:val="1"/>
      <w:numFmt w:val="lowerLetter"/>
      <w:lvlText w:val="%5."/>
      <w:lvlJc w:val="left"/>
      <w:pPr>
        <w:ind w:left="3600" w:hanging="360"/>
      </w:pPr>
    </w:lvl>
    <w:lvl w:ilvl="5" w:tplc="24DC647E">
      <w:start w:val="1"/>
      <w:numFmt w:val="lowerRoman"/>
      <w:lvlText w:val="%6."/>
      <w:lvlJc w:val="right"/>
      <w:pPr>
        <w:ind w:left="4320" w:hanging="180"/>
      </w:pPr>
    </w:lvl>
    <w:lvl w:ilvl="6" w:tplc="C30A0476">
      <w:start w:val="1"/>
      <w:numFmt w:val="decimal"/>
      <w:lvlText w:val="%7."/>
      <w:lvlJc w:val="left"/>
      <w:pPr>
        <w:ind w:left="5040" w:hanging="360"/>
      </w:pPr>
    </w:lvl>
    <w:lvl w:ilvl="7" w:tplc="8820D6F2">
      <w:start w:val="1"/>
      <w:numFmt w:val="lowerLetter"/>
      <w:lvlText w:val="%8."/>
      <w:lvlJc w:val="left"/>
      <w:pPr>
        <w:ind w:left="5760" w:hanging="360"/>
      </w:pPr>
    </w:lvl>
    <w:lvl w:ilvl="8" w:tplc="A530BE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05E48"/>
    <w:multiLevelType w:val="hybridMultilevel"/>
    <w:tmpl w:val="99EC7136"/>
    <w:lvl w:ilvl="0" w:tplc="8556B00A">
      <w:start w:val="1"/>
      <w:numFmt w:val="decimal"/>
      <w:lvlText w:val="%1."/>
      <w:lvlJc w:val="left"/>
      <w:pPr>
        <w:ind w:left="720" w:hanging="360"/>
      </w:pPr>
    </w:lvl>
    <w:lvl w:ilvl="1" w:tplc="DE8AF23C">
      <w:start w:val="1"/>
      <w:numFmt w:val="decimal"/>
      <w:lvlText w:val="%2."/>
      <w:lvlJc w:val="left"/>
      <w:pPr>
        <w:ind w:left="1440" w:hanging="360"/>
      </w:pPr>
    </w:lvl>
    <w:lvl w:ilvl="2" w:tplc="827EB3B4">
      <w:start w:val="1"/>
      <w:numFmt w:val="lowerRoman"/>
      <w:lvlText w:val="%3."/>
      <w:lvlJc w:val="right"/>
      <w:pPr>
        <w:ind w:left="2160" w:hanging="180"/>
      </w:pPr>
    </w:lvl>
    <w:lvl w:ilvl="3" w:tplc="82F44BE0">
      <w:start w:val="1"/>
      <w:numFmt w:val="decimal"/>
      <w:lvlText w:val="%4."/>
      <w:lvlJc w:val="left"/>
      <w:pPr>
        <w:ind w:left="2880" w:hanging="360"/>
      </w:pPr>
    </w:lvl>
    <w:lvl w:ilvl="4" w:tplc="64F234DE">
      <w:start w:val="1"/>
      <w:numFmt w:val="lowerLetter"/>
      <w:lvlText w:val="%5."/>
      <w:lvlJc w:val="left"/>
      <w:pPr>
        <w:ind w:left="3600" w:hanging="360"/>
      </w:pPr>
    </w:lvl>
    <w:lvl w:ilvl="5" w:tplc="A6C41DF4">
      <w:start w:val="1"/>
      <w:numFmt w:val="lowerRoman"/>
      <w:lvlText w:val="%6."/>
      <w:lvlJc w:val="right"/>
      <w:pPr>
        <w:ind w:left="4320" w:hanging="180"/>
      </w:pPr>
    </w:lvl>
    <w:lvl w:ilvl="6" w:tplc="5E9A9500">
      <w:start w:val="1"/>
      <w:numFmt w:val="decimal"/>
      <w:lvlText w:val="%7."/>
      <w:lvlJc w:val="left"/>
      <w:pPr>
        <w:ind w:left="5040" w:hanging="360"/>
      </w:pPr>
    </w:lvl>
    <w:lvl w:ilvl="7" w:tplc="9580E596">
      <w:start w:val="1"/>
      <w:numFmt w:val="lowerLetter"/>
      <w:lvlText w:val="%8."/>
      <w:lvlJc w:val="left"/>
      <w:pPr>
        <w:ind w:left="5760" w:hanging="360"/>
      </w:pPr>
    </w:lvl>
    <w:lvl w:ilvl="8" w:tplc="58CE61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A2825"/>
    <w:multiLevelType w:val="hybridMultilevel"/>
    <w:tmpl w:val="BB1CCA54"/>
    <w:lvl w:ilvl="0" w:tplc="7A08E5D6">
      <w:start w:val="1"/>
      <w:numFmt w:val="decimal"/>
      <w:lvlText w:val="%1."/>
      <w:lvlJc w:val="left"/>
      <w:pPr>
        <w:ind w:left="720" w:hanging="360"/>
      </w:pPr>
    </w:lvl>
    <w:lvl w:ilvl="1" w:tplc="CE807FFE">
      <w:start w:val="1"/>
      <w:numFmt w:val="upperRoman"/>
      <w:lvlText w:val="%2."/>
      <w:lvlJc w:val="right"/>
      <w:pPr>
        <w:ind w:left="1440" w:hanging="360"/>
      </w:pPr>
    </w:lvl>
    <w:lvl w:ilvl="2" w:tplc="DBA27F30">
      <w:start w:val="1"/>
      <w:numFmt w:val="lowerRoman"/>
      <w:lvlText w:val="%3."/>
      <w:lvlJc w:val="right"/>
      <w:pPr>
        <w:ind w:left="2160" w:hanging="180"/>
      </w:pPr>
    </w:lvl>
    <w:lvl w:ilvl="3" w:tplc="C150BF66">
      <w:start w:val="1"/>
      <w:numFmt w:val="decimal"/>
      <w:lvlText w:val="%4."/>
      <w:lvlJc w:val="left"/>
      <w:pPr>
        <w:ind w:left="2880" w:hanging="360"/>
      </w:pPr>
    </w:lvl>
    <w:lvl w:ilvl="4" w:tplc="3AF2B3D6">
      <w:start w:val="1"/>
      <w:numFmt w:val="lowerLetter"/>
      <w:lvlText w:val="%5."/>
      <w:lvlJc w:val="left"/>
      <w:pPr>
        <w:ind w:left="3600" w:hanging="360"/>
      </w:pPr>
    </w:lvl>
    <w:lvl w:ilvl="5" w:tplc="C43CB0B0">
      <w:start w:val="1"/>
      <w:numFmt w:val="lowerRoman"/>
      <w:lvlText w:val="%6."/>
      <w:lvlJc w:val="right"/>
      <w:pPr>
        <w:ind w:left="4320" w:hanging="180"/>
      </w:pPr>
    </w:lvl>
    <w:lvl w:ilvl="6" w:tplc="0622B698">
      <w:start w:val="1"/>
      <w:numFmt w:val="decimal"/>
      <w:lvlText w:val="%7."/>
      <w:lvlJc w:val="left"/>
      <w:pPr>
        <w:ind w:left="5040" w:hanging="360"/>
      </w:pPr>
    </w:lvl>
    <w:lvl w:ilvl="7" w:tplc="7272E8F8">
      <w:start w:val="1"/>
      <w:numFmt w:val="lowerLetter"/>
      <w:lvlText w:val="%8."/>
      <w:lvlJc w:val="left"/>
      <w:pPr>
        <w:ind w:left="5760" w:hanging="360"/>
      </w:pPr>
    </w:lvl>
    <w:lvl w:ilvl="8" w:tplc="07BE51C6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80534">
    <w:abstractNumId w:val="2"/>
  </w:num>
  <w:num w:numId="2" w16cid:durableId="1302543090">
    <w:abstractNumId w:val="4"/>
  </w:num>
  <w:num w:numId="3" w16cid:durableId="2049836870">
    <w:abstractNumId w:val="5"/>
  </w:num>
  <w:num w:numId="4" w16cid:durableId="1260527616">
    <w:abstractNumId w:val="6"/>
  </w:num>
  <w:num w:numId="5" w16cid:durableId="541141100">
    <w:abstractNumId w:val="1"/>
  </w:num>
  <w:num w:numId="6" w16cid:durableId="1910534980">
    <w:abstractNumId w:val="0"/>
  </w:num>
  <w:num w:numId="7" w16cid:durableId="118439788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ele Gazzetti1">
    <w15:presenceInfo w15:providerId="AD" w15:userId="S::michele.gazzetti1@ibm.com::cb85a491-c272-49da-bb18-de5151b0ed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FF7C20"/>
    <w:rsid w:val="00015BB9"/>
    <w:rsid w:val="00052344"/>
    <w:rsid w:val="0008732A"/>
    <w:rsid w:val="0010568F"/>
    <w:rsid w:val="00157DBA"/>
    <w:rsid w:val="00181824"/>
    <w:rsid w:val="00235A31"/>
    <w:rsid w:val="0026312A"/>
    <w:rsid w:val="002D4524"/>
    <w:rsid w:val="004858F2"/>
    <w:rsid w:val="004D4A5A"/>
    <w:rsid w:val="004E2655"/>
    <w:rsid w:val="00501A92"/>
    <w:rsid w:val="0050412C"/>
    <w:rsid w:val="00621BCD"/>
    <w:rsid w:val="0069560F"/>
    <w:rsid w:val="006C01CF"/>
    <w:rsid w:val="006C6E08"/>
    <w:rsid w:val="006E79E2"/>
    <w:rsid w:val="00702EF8"/>
    <w:rsid w:val="007302E1"/>
    <w:rsid w:val="0077030E"/>
    <w:rsid w:val="008B00C8"/>
    <w:rsid w:val="008E054B"/>
    <w:rsid w:val="00981FD1"/>
    <w:rsid w:val="00992001"/>
    <w:rsid w:val="009B7F93"/>
    <w:rsid w:val="009D1BE3"/>
    <w:rsid w:val="00A6080F"/>
    <w:rsid w:val="00A90716"/>
    <w:rsid w:val="00AD4256"/>
    <w:rsid w:val="00AF7E9C"/>
    <w:rsid w:val="00B2136D"/>
    <w:rsid w:val="00B539E2"/>
    <w:rsid w:val="00C96553"/>
    <w:rsid w:val="00CC1A7B"/>
    <w:rsid w:val="00CD269C"/>
    <w:rsid w:val="00D33AE4"/>
    <w:rsid w:val="00D42044"/>
    <w:rsid w:val="00D5175C"/>
    <w:rsid w:val="00DA0890"/>
    <w:rsid w:val="00E21082"/>
    <w:rsid w:val="00E71A54"/>
    <w:rsid w:val="00E75945"/>
    <w:rsid w:val="00EC2854"/>
    <w:rsid w:val="00F363F0"/>
    <w:rsid w:val="00F55CB4"/>
    <w:rsid w:val="00F817F0"/>
    <w:rsid w:val="00F929C5"/>
    <w:rsid w:val="00FD7756"/>
    <w:rsid w:val="2F59172B"/>
    <w:rsid w:val="5E190DAD"/>
    <w:rsid w:val="6F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F7C20"/>
  <w15:chartTrackingRefBased/>
  <w15:docId w15:val="{817FE8D7-8033-4BD1-9421-B68BE712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0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920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2D45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25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D42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420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mtf.org/sites/default/files/standards/documents/DSP0266_1.15.1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@Redfish.RequestedCou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1813D4-BDB9-FB4E-96B8-86A9C9B8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GAZZETTI</dc:creator>
  <cp:keywords/>
  <dc:description/>
  <cp:lastModifiedBy>Michele Gazzetti1</cp:lastModifiedBy>
  <cp:revision>2</cp:revision>
  <dcterms:created xsi:type="dcterms:W3CDTF">2022-06-23T16:18:00Z</dcterms:created>
  <dcterms:modified xsi:type="dcterms:W3CDTF">2022-06-23T16:18:00Z</dcterms:modified>
</cp:coreProperties>
</file>